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575" w:rsidRP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  <w:r w:rsidRPr="00BF4575">
        <w:rPr>
          <w:rFonts w:ascii="標楷體" w:eastAsia="標楷體" w:hAnsi="標楷體" w:hint="eastAsia"/>
          <w:sz w:val="48"/>
          <w:szCs w:val="48"/>
        </w:rPr>
        <w:t>澎湖縣政府文化局統計通報</w:t>
      </w:r>
    </w:p>
    <w:p w:rsid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800"/>
        <w:jc w:val="center"/>
        <w:rPr>
          <w:rFonts w:ascii="標楷體" w:eastAsia="標楷體" w:hAnsi="標楷體"/>
          <w:sz w:val="40"/>
          <w:szCs w:val="40"/>
        </w:rPr>
      </w:pPr>
      <w:r w:rsidRPr="00BF4575">
        <w:rPr>
          <w:rFonts w:ascii="標楷體" w:eastAsia="標楷體" w:hAnsi="標楷體" w:hint="eastAsia"/>
          <w:sz w:val="40"/>
          <w:szCs w:val="40"/>
        </w:rPr>
        <w:t>澎湖縣藝文展演活動概況</w:t>
      </w:r>
    </w:p>
    <w:p w:rsidR="00BF4575" w:rsidRP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800"/>
        <w:jc w:val="center"/>
        <w:rPr>
          <w:rFonts w:ascii="標楷體" w:eastAsia="標楷體" w:hAnsi="標楷體"/>
          <w:sz w:val="40"/>
          <w:szCs w:val="40"/>
        </w:rPr>
      </w:pPr>
    </w:p>
    <w:p w:rsidR="00E472C4" w:rsidRPr="00827419" w:rsidRDefault="00C41371" w:rsidP="00C41371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827419">
        <w:rPr>
          <w:rFonts w:ascii="標楷體" w:eastAsia="標楷體" w:hAnsi="標楷體" w:hint="eastAsia"/>
          <w:sz w:val="28"/>
          <w:szCs w:val="28"/>
        </w:rPr>
        <w:t>「文化」</w:t>
      </w:r>
      <w:r w:rsidR="0094170C" w:rsidRPr="00827419">
        <w:rPr>
          <w:rFonts w:ascii="標楷體" w:eastAsia="標楷體" w:hAnsi="標楷體" w:hint="eastAsia"/>
          <w:sz w:val="28"/>
          <w:szCs w:val="28"/>
        </w:rPr>
        <w:t>的內涵</w:t>
      </w:r>
      <w:r w:rsidR="002A7991" w:rsidRPr="00827419">
        <w:rPr>
          <w:rFonts w:ascii="標楷體" w:eastAsia="標楷體" w:hAnsi="標楷體" w:hint="eastAsia"/>
          <w:sz w:val="28"/>
          <w:szCs w:val="28"/>
        </w:rPr>
        <w:t>，</w:t>
      </w:r>
      <w:r w:rsidR="00302F9C" w:rsidRPr="00827419">
        <w:rPr>
          <w:rFonts w:ascii="標楷體" w:eastAsia="標楷體" w:hAnsi="標楷體" w:hint="eastAsia"/>
          <w:sz w:val="28"/>
          <w:szCs w:val="28"/>
        </w:rPr>
        <w:t>一般而言，廣義的文化，是指</w:t>
      </w:r>
      <w:proofErr w:type="gramStart"/>
      <w:r w:rsidR="00302F9C" w:rsidRPr="0082741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302F9C" w:rsidRPr="00827419">
        <w:rPr>
          <w:rFonts w:ascii="標楷體" w:eastAsia="標楷體" w:hAnsi="標楷體" w:hint="eastAsia"/>
          <w:sz w:val="28"/>
          <w:szCs w:val="28"/>
        </w:rPr>
        <w:t>特定社會中，人們共有或接受的信仰、生活方式、藝術與習俗。狹義的文化，是指藝術、音樂與文學，簡單地說，就是「藝術」。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而</w:t>
      </w:r>
      <w:r w:rsidR="00A7013D" w:rsidRPr="00827419">
        <w:rPr>
          <w:rFonts w:ascii="標楷體" w:eastAsia="標楷體" w:hAnsi="標楷體" w:hint="eastAsia"/>
          <w:sz w:val="28"/>
          <w:szCs w:val="28"/>
        </w:rPr>
        <w:t>藝術代表國家形象，被視為精神生活水準的指標。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隨著社會</w:t>
      </w:r>
      <w:r w:rsidR="0094170C" w:rsidRPr="00827419">
        <w:rPr>
          <w:rFonts w:ascii="標楷體" w:eastAsia="標楷體" w:hAnsi="標楷體" w:hint="eastAsia"/>
          <w:sz w:val="28"/>
          <w:szCs w:val="28"/>
        </w:rPr>
        <w:t>日益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進步</w:t>
      </w:r>
      <w:r w:rsidR="00A7013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大眾對悠閒心靈的重視及追求，已由民生需求的滿足逐漸延展至精神層面的追求，從文化藝術活動舉辦場次與民眾出席人數的增多皆可略見一二。</w:t>
      </w:r>
      <w:proofErr w:type="gramStart"/>
      <w:r w:rsidR="00A7013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玆</w:t>
      </w:r>
      <w:proofErr w:type="gramEnd"/>
      <w:r w:rsidR="00A7013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依據文化部統計資料，概述本縣藝文展演活動，以了解本縣文化藝術活動發展的情形。</w:t>
      </w:r>
    </w:p>
    <w:p w:rsidR="00E472C4" w:rsidRPr="00BE753C" w:rsidRDefault="00E472C4" w:rsidP="0081773F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一、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4049E6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年本縣藝文展演活動個數較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4049E6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973A4B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4049E6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11.8</w:t>
      </w:r>
      <w:r w:rsidR="00973A4B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，出席人次</w:t>
      </w:r>
      <w:r w:rsidR="00973A4B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C22480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18.65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，惟平均出席人次增加</w:t>
      </w:r>
      <w:r w:rsidR="00146C20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5.7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E472C4" w:rsidRDefault="00871A52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noProof/>
          <w:kern w:val="0"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1930400</wp:posOffset>
            </wp:positionV>
            <wp:extent cx="4781550" cy="2762250"/>
            <wp:effectExtent l="0" t="0" r="0" b="0"/>
            <wp:wrapSquare wrapText="bothSides"/>
            <wp:docPr id="3" name="圖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依</w:t>
      </w:r>
      <w:r w:rsidR="0071346D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據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文化部統計，</w:t>
      </w:r>
      <w:r w:rsidR="00E472C4" w:rsidRPr="00BE753C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252F87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年本縣藝文展演活動共計</w:t>
      </w:r>
      <w:r w:rsidR="00AC3A51" w:rsidRPr="00BE753C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252F87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87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個，較</w:t>
      </w:r>
      <w:r w:rsidR="00AC3A51" w:rsidRPr="00BE753C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252F87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602BD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252F87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11.8</w:t>
      </w:r>
      <w:r w:rsidR="00602BD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="00E472C4" w:rsidRPr="00BE753C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；出席人次</w:t>
      </w:r>
      <w:r w:rsidR="007D6A2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649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千人次，</w:t>
      </w:r>
      <w:r w:rsidR="00602BD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7D6A2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18</w:t>
      </w:r>
      <w:r w:rsidR="00602BD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7D6A2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65</w:t>
      </w:r>
      <w:r w:rsidR="00E472C4" w:rsidRPr="00BE753C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；與</w:t>
      </w:r>
      <w:r w:rsidR="00E472C4" w:rsidRPr="00BE753C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7D6A2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年相比觀察，活動個數及出席人次明顯</w:t>
      </w:r>
      <w:r w:rsidR="00602BD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，觀察</w:t>
      </w:r>
      <w:r w:rsidR="00E472C4" w:rsidRPr="00BE753C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個年度呈</w:t>
      </w:r>
      <w:r w:rsidR="00602BD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互有增減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情形，惟以平均出席人次來看，</w:t>
      </w:r>
      <w:r w:rsidR="00E472C4" w:rsidRPr="00BE753C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3117E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年較</w:t>
      </w:r>
      <w:r w:rsidR="00E472C4" w:rsidRPr="00BE753C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3117E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年增加</w:t>
      </w:r>
      <w:r w:rsidR="003117E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43.57</w:t>
      </w:r>
      <w:r w:rsidR="00E472C4" w:rsidRPr="00BE753C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呈現</w:t>
      </w:r>
      <w:r w:rsidR="00602BD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持續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穩定正成長趨勢。而與</w:t>
      </w:r>
      <w:r w:rsidR="00E472C4" w:rsidRPr="00BE753C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242A2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4至107</w:t>
      </w:r>
      <w:r w:rsidR="00E472C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年比較，活動個數</w:t>
      </w:r>
      <w:r w:rsidR="00242A2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、出席</w:t>
      </w:r>
      <w:proofErr w:type="gramStart"/>
      <w:r w:rsidR="00242A2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人次、</w:t>
      </w:r>
      <w:proofErr w:type="gramEnd"/>
      <w:r w:rsidR="00242A2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與平均出席人次皆為成長</w:t>
      </w:r>
      <w:r w:rsidR="00605907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。(詳圖</w:t>
      </w:r>
      <w:proofErr w:type="gramStart"/>
      <w:r w:rsidR="00605907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一</w:t>
      </w:r>
      <w:proofErr w:type="gramEnd"/>
      <w:r w:rsidR="00605907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B726AA" w:rsidRPr="00425888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</w:p>
    <w:p w:rsidR="000A21C7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871A52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Pr="00827419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32113E" w:rsidRDefault="0032113E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0A21C7" w:rsidRDefault="000A21C7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0A21C7" w:rsidRDefault="000A21C7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E472C4" w:rsidRPr="00BE753C" w:rsidRDefault="00E472C4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>二、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8961FD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年本縣藝文展演活動類別以</w:t>
      </w:r>
      <w:r w:rsidR="003B1168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綜合類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r w:rsidR="008961FD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22.48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最多，</w:t>
      </w:r>
      <w:r w:rsidR="003B1168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視覺藝術類占</w:t>
      </w:r>
      <w:r w:rsidR="005F5F41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17.</w:t>
      </w:r>
      <w:r w:rsidR="003B1168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="005F5F41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="003B1168" w:rsidRPr="00BE753C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3B1168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次之、</w:t>
      </w:r>
      <w:r w:rsidR="003A1DDA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再其次</w:t>
      </w:r>
      <w:r w:rsidR="003B1168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語文與圖書類</w:t>
      </w:r>
      <w:r w:rsidR="004F3B88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r w:rsidR="005F5F41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13.4</w:t>
      </w:r>
      <w:r w:rsidR="003B1168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4%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類合占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="003F530D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2.97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E472C4" w:rsidRPr="007E7217" w:rsidRDefault="00E472C4" w:rsidP="00744F6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從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2931E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年藝文展演活動類別觀察，</w:t>
      </w:r>
      <w:r w:rsidR="00FC589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綜合類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計</w:t>
      </w:r>
      <w:r w:rsidR="002931E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87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個最多占</w:t>
      </w:r>
      <w:r w:rsidR="002931E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22.48</w:t>
      </w:r>
      <w:r w:rsidR="00FC589F" w:rsidRPr="00BE753C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FC589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視覺藝術類計</w:t>
      </w:r>
      <w:r w:rsidR="002931E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66</w:t>
      </w:r>
      <w:r w:rsidR="00FC589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proofErr w:type="gramStart"/>
      <w:r w:rsidR="00AB7408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居次</w:t>
      </w:r>
      <w:r w:rsidR="00FC589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proofErr w:type="gramEnd"/>
      <w:r w:rsidR="002931E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17.05</w:t>
      </w:r>
      <w:r w:rsidR="00FC589F" w:rsidRPr="00BE753C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FC589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，再其次語文與圖書類計</w:t>
      </w:r>
      <w:r w:rsidR="002931E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52</w:t>
      </w:r>
      <w:r w:rsidR="00FC589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個占</w:t>
      </w:r>
      <w:r w:rsidR="002931E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13.4</w:t>
      </w:r>
      <w:r w:rsidR="00FC589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4%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2B35F3" w:rsidRPr="00BE753C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類合</w:t>
      </w:r>
      <w:r w:rsidR="00FC589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計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r w:rsidR="00FC589F" w:rsidRPr="00BE753C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="002931E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2.97</w:t>
      </w:r>
      <w:r w:rsidR="00FC589F" w:rsidRPr="00BE753C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。若與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8235A1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年各類別所占比率比較觀察，</w:t>
      </w:r>
      <w:r w:rsidR="00CB749B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視覺藝術類、</w:t>
      </w:r>
      <w:r w:rsidR="00396FC8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工藝類、古典與傳統音樂類</w:t>
      </w:r>
      <w:r w:rsidR="00CB749B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、影視/廣播類</w:t>
      </w:r>
      <w:r w:rsidR="00396FC8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語文與圖書類</w:t>
      </w:r>
      <w:r w:rsidR="00115B2D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及綜合類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增加之外，其餘</w:t>
      </w:r>
      <w:r w:rsidR="00396FC8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流行音樂類</w:t>
      </w:r>
      <w:r w:rsidR="00CB749B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、</w:t>
      </w:r>
      <w:r w:rsidR="00396FC8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戲劇類</w:t>
      </w:r>
      <w:r w:rsidR="00A20227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為減少情況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，並分別以</w:t>
      </w:r>
      <w:r w:rsidR="002741E9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綜合</w:t>
      </w:r>
      <w:r w:rsidR="00C0562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A20227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14.47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個百分點，</w:t>
      </w:r>
      <w:r w:rsidR="00A20227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流行</w:t>
      </w:r>
      <w:r w:rsidR="002741E9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音樂類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減少</w:t>
      </w:r>
      <w:r w:rsidR="00A20227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29.41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個百分點，兩類增減幅最大。</w:t>
      </w:r>
    </w:p>
    <w:p w:rsidR="003F484A" w:rsidRDefault="002941E9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>
        <w:rPr>
          <w:rFonts w:ascii="標楷體" w:eastAsia="標楷體" w:hAnsi="標楷體" w:cs="DFKaiShu-SB-Estd-BF"/>
          <w:noProof/>
          <w:color w:val="000000"/>
          <w:kern w:val="0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158750</wp:posOffset>
            </wp:positionV>
            <wp:extent cx="4648200" cy="5800725"/>
            <wp:effectExtent l="0" t="0" r="0" b="0"/>
            <wp:wrapSquare wrapText="bothSides"/>
            <wp:docPr id="2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Pr="00115B2D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Pr="00E84F38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Pr="00115B2D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475F35" w:rsidRDefault="00475F35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BE753C" w:rsidRDefault="00BE753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904A53" w:rsidRPr="00BE753C" w:rsidRDefault="00904A53" w:rsidP="00960EC1">
      <w:pPr>
        <w:autoSpaceDE w:val="0"/>
        <w:autoSpaceDN w:val="0"/>
        <w:adjustRightInd w:val="0"/>
        <w:spacing w:line="440" w:lineRule="exact"/>
        <w:ind w:left="560" w:hangingChars="200" w:hanging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三、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C764A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年本縣辦理藝文展演活動個數</w:t>
      </w:r>
      <w:r w:rsidR="00C764A4" w:rsidRPr="00BE753C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C764A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87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個，為</w:t>
      </w:r>
      <w:r w:rsidRPr="00BE753C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</w:t>
      </w:r>
      <w:r w:rsidR="00EC49F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略勝</w:t>
      </w:r>
      <w:r w:rsidR="00C0562F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於連江縣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，平均出席人次</w:t>
      </w:r>
      <w:r w:rsidR="00C764A4" w:rsidRPr="00BE753C">
        <w:rPr>
          <w:rFonts w:ascii="標楷體" w:eastAsia="標楷體" w:hAnsi="標楷體" w:cs="DFKaiShu-SB-Estd-BF"/>
          <w:kern w:val="0"/>
          <w:sz w:val="28"/>
          <w:szCs w:val="28"/>
        </w:rPr>
        <w:t>1,</w:t>
      </w:r>
      <w:r w:rsidR="00C764A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677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人次</w:t>
      </w:r>
      <w:r w:rsidR="00F155AA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僅</w:t>
      </w:r>
      <w:r w:rsidR="00EC49F4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略勝</w:t>
      </w:r>
      <w:r w:rsidR="00F155AA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於</w:t>
      </w:r>
      <w:r w:rsidR="002B7417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嘉義市</w:t>
      </w:r>
      <w:r w:rsidR="00F155AA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及連江縣</w:t>
      </w:r>
      <w:r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904A53" w:rsidRPr="009C5D21" w:rsidRDefault="00C13076" w:rsidP="00960EC1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noProof/>
          <w:kern w:val="0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-238125</wp:posOffset>
            </wp:positionH>
            <wp:positionV relativeFrom="paragraph">
              <wp:posOffset>1651000</wp:posOffset>
            </wp:positionV>
            <wp:extent cx="5819775" cy="3228975"/>
            <wp:effectExtent l="19050" t="0" r="0" b="0"/>
            <wp:wrapSquare wrapText="bothSides"/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從臺灣</w:t>
      </w:r>
      <w:r w:rsidR="00904A53" w:rsidRPr="00BE753C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個縣市中觀察，</w:t>
      </w:r>
      <w:r w:rsidR="00904A53" w:rsidRPr="00BE753C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7A40C6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年藝文展演活動個數以</w:t>
      </w:r>
      <w:r w:rsidR="00F155AA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臺北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E81EE2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F155AA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D21F36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577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個最多，本縣</w:t>
      </w:r>
      <w:r w:rsidR="00E81EE2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3</w:t>
      </w:r>
      <w:r w:rsidR="00C90726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87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個居第</w:t>
      </w:r>
      <w:r w:rsidR="00E81EE2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21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位，</w:t>
      </w:r>
      <w:proofErr w:type="gramStart"/>
      <w:r w:rsidR="003D70BB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另</w:t>
      </w:r>
      <w:r w:rsidR="00E81EE2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相較</w:t>
      </w:r>
      <w:proofErr w:type="gramEnd"/>
      <w:r w:rsidR="00E81EE2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於離島三</w:t>
      </w:r>
      <w:proofErr w:type="gramStart"/>
      <w:r w:rsidR="00E81EE2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縣</w:t>
      </w:r>
      <w:r w:rsidR="00A27347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占比</w:t>
      </w:r>
      <w:proofErr w:type="gramEnd"/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金門縣</w:t>
      </w:r>
      <w:r w:rsidR="00FB3269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557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="00904A53" w:rsidRPr="00BE753C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F155AA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="00FB3269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E81EE2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本縣</w:t>
      </w:r>
      <w:r w:rsidR="00E81EE2" w:rsidRPr="00BE753C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F155AA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46</w:t>
      </w:r>
      <w:r w:rsidR="00E81EE2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個居次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。以平均出席活動人次觀察，以</w:t>
      </w:r>
      <w:r w:rsidR="00AB2222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屏東</w:t>
      </w:r>
      <w:r w:rsidR="003D70BB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縣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平均每場</w:t>
      </w:r>
      <w:r w:rsidR="003D70BB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082AD5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2,823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人次、臺北市</w:t>
      </w:r>
      <w:r w:rsidR="0089509B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182C8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89509B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031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人次及</w:t>
      </w:r>
      <w:proofErr w:type="gramStart"/>
      <w:r w:rsidR="00D200A1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臺</w:t>
      </w:r>
      <w:proofErr w:type="gramEnd"/>
      <w:r w:rsidR="00D200A1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中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182C8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4,</w:t>
      </w:r>
      <w:r w:rsidR="00D200A1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853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人次居前</w:t>
      </w:r>
      <w:r w:rsidR="00904A53" w:rsidRPr="00BE753C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位，本縣</w:t>
      </w:r>
      <w:r w:rsidR="00354139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182C8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901F68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677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人次則為臺灣</w:t>
      </w:r>
      <w:r w:rsidR="00904A53" w:rsidRPr="00BE753C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</w:t>
      </w:r>
      <w:r w:rsidR="00322852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居第</w:t>
      </w:r>
      <w:r w:rsidR="00904A53" w:rsidRPr="00BE753C"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 w:rsidR="00182C8C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="00C77B89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位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904A53" w:rsidRPr="00BE753C"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 w:rsidR="00904A53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詳圖</w:t>
      </w:r>
      <w:r w:rsidR="00061468" w:rsidRPr="00BE753C">
        <w:rPr>
          <w:rFonts w:ascii="標楷體" w:eastAsia="標楷體" w:hAnsi="標楷體" w:cs="DFKaiShu-SB-Estd-BF" w:hint="eastAsia"/>
          <w:kern w:val="0"/>
          <w:sz w:val="28"/>
          <w:szCs w:val="28"/>
        </w:rPr>
        <w:t>三</w:t>
      </w:r>
      <w:r w:rsidR="00904A53" w:rsidRPr="00BE753C">
        <w:rPr>
          <w:rFonts w:ascii="標楷體" w:eastAsia="標楷體" w:hAnsi="標楷體" w:cs="DFKaiShu-SB-Estd-BF"/>
          <w:kern w:val="0"/>
          <w:sz w:val="28"/>
          <w:szCs w:val="28"/>
        </w:rPr>
        <w:t>)</w:t>
      </w:r>
    </w:p>
    <w:p w:rsidR="009E5CA5" w:rsidRDefault="009E5CA5" w:rsidP="00727D04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color w:val="00B050"/>
          <w:kern w:val="0"/>
          <w:sz w:val="28"/>
          <w:szCs w:val="28"/>
        </w:rPr>
      </w:pPr>
    </w:p>
    <w:p w:rsidR="0049401F" w:rsidRDefault="0049401F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B050"/>
          <w:kern w:val="0"/>
          <w:sz w:val="28"/>
          <w:szCs w:val="28"/>
        </w:rPr>
      </w:pPr>
    </w:p>
    <w:p w:rsidR="0049401F" w:rsidRPr="00597846" w:rsidRDefault="0049401F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sectPr w:rsidR="0049401F" w:rsidRPr="00597846" w:rsidSect="00CE581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09C0" w:rsidRDefault="00AC09C0" w:rsidP="009C392D">
      <w:r>
        <w:separator/>
      </w:r>
    </w:p>
  </w:endnote>
  <w:endnote w:type="continuationSeparator" w:id="0">
    <w:p w:rsidR="00AC09C0" w:rsidRDefault="00AC09C0" w:rsidP="009C39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JhengHei U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09C0" w:rsidRDefault="00AC09C0" w:rsidP="009C392D">
      <w:r>
        <w:separator/>
      </w:r>
    </w:p>
  </w:footnote>
  <w:footnote w:type="continuationSeparator" w:id="0">
    <w:p w:rsidR="00AC09C0" w:rsidRDefault="00AC09C0" w:rsidP="009C39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72C4"/>
    <w:rsid w:val="00061468"/>
    <w:rsid w:val="00082AD5"/>
    <w:rsid w:val="000A21C7"/>
    <w:rsid w:val="000E43EE"/>
    <w:rsid w:val="00115B2D"/>
    <w:rsid w:val="00146C20"/>
    <w:rsid w:val="001501C6"/>
    <w:rsid w:val="00170EDB"/>
    <w:rsid w:val="001734AA"/>
    <w:rsid w:val="00182C8C"/>
    <w:rsid w:val="002070B8"/>
    <w:rsid w:val="00242A2F"/>
    <w:rsid w:val="00252F87"/>
    <w:rsid w:val="002741E9"/>
    <w:rsid w:val="002931EC"/>
    <w:rsid w:val="002941E9"/>
    <w:rsid w:val="002A7991"/>
    <w:rsid w:val="002B35F3"/>
    <w:rsid w:val="002B7417"/>
    <w:rsid w:val="002F6E6E"/>
    <w:rsid w:val="00302BE5"/>
    <w:rsid w:val="00302F9C"/>
    <w:rsid w:val="003117EF"/>
    <w:rsid w:val="0032113E"/>
    <w:rsid w:val="00322852"/>
    <w:rsid w:val="00352807"/>
    <w:rsid w:val="00354139"/>
    <w:rsid w:val="003758BC"/>
    <w:rsid w:val="00396FC8"/>
    <w:rsid w:val="003A1DDA"/>
    <w:rsid w:val="003B0115"/>
    <w:rsid w:val="003B1168"/>
    <w:rsid w:val="003D70BB"/>
    <w:rsid w:val="003F484A"/>
    <w:rsid w:val="003F530D"/>
    <w:rsid w:val="004049E6"/>
    <w:rsid w:val="0040652E"/>
    <w:rsid w:val="0041721B"/>
    <w:rsid w:val="00425888"/>
    <w:rsid w:val="00456D54"/>
    <w:rsid w:val="00475F35"/>
    <w:rsid w:val="0049401F"/>
    <w:rsid w:val="004959E2"/>
    <w:rsid w:val="004F3B88"/>
    <w:rsid w:val="005077C2"/>
    <w:rsid w:val="00564DBC"/>
    <w:rsid w:val="00597846"/>
    <w:rsid w:val="005B08E1"/>
    <w:rsid w:val="005F5F41"/>
    <w:rsid w:val="00602BD3"/>
    <w:rsid w:val="00605907"/>
    <w:rsid w:val="00697944"/>
    <w:rsid w:val="006B3693"/>
    <w:rsid w:val="006D01DB"/>
    <w:rsid w:val="006F02C1"/>
    <w:rsid w:val="0071346D"/>
    <w:rsid w:val="00727D04"/>
    <w:rsid w:val="00744F6B"/>
    <w:rsid w:val="007A2C5F"/>
    <w:rsid w:val="007A40C6"/>
    <w:rsid w:val="007D0999"/>
    <w:rsid w:val="007D6A2C"/>
    <w:rsid w:val="007E7217"/>
    <w:rsid w:val="0081773F"/>
    <w:rsid w:val="008235A1"/>
    <w:rsid w:val="00827419"/>
    <w:rsid w:val="00871A52"/>
    <w:rsid w:val="008722C2"/>
    <w:rsid w:val="00881A23"/>
    <w:rsid w:val="00892E17"/>
    <w:rsid w:val="0089509B"/>
    <w:rsid w:val="008961FD"/>
    <w:rsid w:val="008D7F17"/>
    <w:rsid w:val="00901F68"/>
    <w:rsid w:val="00904A53"/>
    <w:rsid w:val="0092606A"/>
    <w:rsid w:val="0094170C"/>
    <w:rsid w:val="00960EC1"/>
    <w:rsid w:val="00963513"/>
    <w:rsid w:val="00973A4B"/>
    <w:rsid w:val="009C392D"/>
    <w:rsid w:val="009C5686"/>
    <w:rsid w:val="009C5D21"/>
    <w:rsid w:val="009C7469"/>
    <w:rsid w:val="009E5C67"/>
    <w:rsid w:val="009E5CA5"/>
    <w:rsid w:val="009F66DA"/>
    <w:rsid w:val="00A1650E"/>
    <w:rsid w:val="00A20227"/>
    <w:rsid w:val="00A27347"/>
    <w:rsid w:val="00A7013D"/>
    <w:rsid w:val="00A94E73"/>
    <w:rsid w:val="00A94EF2"/>
    <w:rsid w:val="00AB2222"/>
    <w:rsid w:val="00AB7408"/>
    <w:rsid w:val="00AC09C0"/>
    <w:rsid w:val="00AC3A51"/>
    <w:rsid w:val="00AF357D"/>
    <w:rsid w:val="00B12E6D"/>
    <w:rsid w:val="00B529D6"/>
    <w:rsid w:val="00B726AA"/>
    <w:rsid w:val="00BA038D"/>
    <w:rsid w:val="00BA3A6E"/>
    <w:rsid w:val="00BB0774"/>
    <w:rsid w:val="00BB4E73"/>
    <w:rsid w:val="00BC301B"/>
    <w:rsid w:val="00BE753C"/>
    <w:rsid w:val="00BF4575"/>
    <w:rsid w:val="00C0248B"/>
    <w:rsid w:val="00C0562F"/>
    <w:rsid w:val="00C068A2"/>
    <w:rsid w:val="00C13076"/>
    <w:rsid w:val="00C22480"/>
    <w:rsid w:val="00C3711E"/>
    <w:rsid w:val="00C41371"/>
    <w:rsid w:val="00C666A2"/>
    <w:rsid w:val="00C764A4"/>
    <w:rsid w:val="00C77B89"/>
    <w:rsid w:val="00C90726"/>
    <w:rsid w:val="00CB749B"/>
    <w:rsid w:val="00CE5811"/>
    <w:rsid w:val="00D200A1"/>
    <w:rsid w:val="00D21F36"/>
    <w:rsid w:val="00D4511B"/>
    <w:rsid w:val="00D926B5"/>
    <w:rsid w:val="00E472C4"/>
    <w:rsid w:val="00E81EE2"/>
    <w:rsid w:val="00E84F38"/>
    <w:rsid w:val="00EC35C7"/>
    <w:rsid w:val="00EC49F4"/>
    <w:rsid w:val="00ED560E"/>
    <w:rsid w:val="00EF4807"/>
    <w:rsid w:val="00F155AA"/>
    <w:rsid w:val="00F327CB"/>
    <w:rsid w:val="00F4099D"/>
    <w:rsid w:val="00F6732D"/>
    <w:rsid w:val="00F85912"/>
    <w:rsid w:val="00FB3269"/>
    <w:rsid w:val="00FB4B3A"/>
    <w:rsid w:val="00FC589F"/>
    <w:rsid w:val="00FE3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8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13D"/>
    <w:rPr>
      <w:strike w:val="0"/>
      <w:dstrike w:val="0"/>
      <w:color w:val="3661AC"/>
      <w:sz w:val="24"/>
      <w:szCs w:val="24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D926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926B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9C3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9C392D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9C3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9C392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s20890\Desktop\&#32113;&#35336;\2020&#32113;&#35336;&#31293;&#26680;\&#25991;&#21270;&#23616;&#34269;&#25991;&#23637;&#28436;&#27963;&#21205;&#27010;&#27841;&#32113;&#35336;&#36890;&#22577;(&#36039;&#26009;&#31295;109)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fs20890\Desktop\&#32113;&#35336;\2020&#32113;&#35336;&#31293;&#26680;\&#25991;&#21270;&#23616;&#34269;&#25991;&#23637;&#28436;&#27963;&#21205;&#27010;&#27841;&#32113;&#35336;&#36890;&#22577;(&#36039;&#26009;&#31295;109)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s20890\Desktop\&#32113;&#35336;\2020&#32113;&#35336;&#31293;&#26680;\&#25991;&#21270;&#23616;&#34269;&#25991;&#23637;&#28436;&#27963;&#21205;&#27010;&#27841;&#32113;&#35336;&#36890;&#22577;(&#36039;&#26009;&#31295;109)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/>
              <a:t>圖一、澎湖縣藝文活動展演個數及出席人次</a:t>
            </a:r>
          </a:p>
        </c:rich>
      </c:tx>
      <c:layout/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8.435725649016626E-2"/>
          <c:y val="0.17818181818181819"/>
          <c:w val="0.8201424248355188"/>
          <c:h val="0.63863907507429396"/>
        </c:manualLayout>
      </c:layout>
      <c:barChart>
        <c:barDir val="col"/>
        <c:grouping val="clustered"/>
        <c:ser>
          <c:idx val="0"/>
          <c:order val="0"/>
          <c:tx>
            <c:strRef>
              <c:f>'圖表1 '!$B$3</c:f>
              <c:strCache>
                <c:ptCount val="1"/>
                <c:pt idx="0">
                  <c:v>活動個數(個)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Val val="1"/>
          </c:dLbls>
          <c:cat>
            <c:strRef>
              <c:f>'圖表1 '!$A$4:$A$8</c:f>
              <c:strCache>
                <c:ptCount val="5"/>
                <c:pt idx="0">
                  <c:v>108年</c:v>
                </c:pt>
                <c:pt idx="1">
                  <c:v>107年</c:v>
                </c:pt>
                <c:pt idx="2">
                  <c:v>106年</c:v>
                </c:pt>
                <c:pt idx="3">
                  <c:v>105年</c:v>
                </c:pt>
                <c:pt idx="4">
                  <c:v>104年</c:v>
                </c:pt>
              </c:strCache>
            </c:strRef>
          </c:cat>
          <c:val>
            <c:numRef>
              <c:f>'圖表1 '!$B$4:$B$8</c:f>
              <c:numCache>
                <c:formatCode>#,##0_ </c:formatCode>
                <c:ptCount val="5"/>
                <c:pt idx="0" formatCode="General">
                  <c:v>387</c:v>
                </c:pt>
                <c:pt idx="1">
                  <c:v>346</c:v>
                </c:pt>
                <c:pt idx="2">
                  <c:v>322</c:v>
                </c:pt>
                <c:pt idx="3">
                  <c:v>362</c:v>
                </c:pt>
                <c:pt idx="4">
                  <c:v>342</c:v>
                </c:pt>
              </c:numCache>
            </c:numRef>
          </c:val>
        </c:ser>
        <c:ser>
          <c:idx val="1"/>
          <c:order val="1"/>
          <c:tx>
            <c:strRef>
              <c:f>'圖表1 '!$C$3</c:f>
              <c:strCache>
                <c:ptCount val="1"/>
                <c:pt idx="0">
                  <c:v>出席人次(千人)</c:v>
                </c:pt>
              </c:strCache>
            </c:strRef>
          </c:tx>
          <c:spPr>
            <a:solidFill>
              <a:srgbClr val="ED7D31"/>
            </a:solidFill>
            <a:ln w="25400">
              <a:noFill/>
            </a:ln>
          </c:spP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Val val="1"/>
          </c:dLbls>
          <c:cat>
            <c:strRef>
              <c:f>'圖表1 '!$A$4:$A$8</c:f>
              <c:strCache>
                <c:ptCount val="5"/>
                <c:pt idx="0">
                  <c:v>108年</c:v>
                </c:pt>
                <c:pt idx="1">
                  <c:v>107年</c:v>
                </c:pt>
                <c:pt idx="2">
                  <c:v>106年</c:v>
                </c:pt>
                <c:pt idx="3">
                  <c:v>105年</c:v>
                </c:pt>
                <c:pt idx="4">
                  <c:v>104年</c:v>
                </c:pt>
              </c:strCache>
            </c:strRef>
          </c:cat>
          <c:val>
            <c:numRef>
              <c:f>'圖表1 '!$C$4:$C$8</c:f>
              <c:numCache>
                <c:formatCode>#,##0_ </c:formatCode>
                <c:ptCount val="5"/>
                <c:pt idx="0" formatCode="General">
                  <c:v>649</c:v>
                </c:pt>
                <c:pt idx="1">
                  <c:v>547</c:v>
                </c:pt>
                <c:pt idx="2">
                  <c:v>381</c:v>
                </c:pt>
                <c:pt idx="3">
                  <c:v>395</c:v>
                </c:pt>
                <c:pt idx="4">
                  <c:v>394</c:v>
                </c:pt>
              </c:numCache>
            </c:numRef>
          </c:val>
        </c:ser>
        <c:gapWidth val="219"/>
        <c:overlap val="-27"/>
        <c:axId val="93079040"/>
        <c:axId val="93112576"/>
      </c:barChart>
      <c:lineChart>
        <c:grouping val="standard"/>
        <c:ser>
          <c:idx val="2"/>
          <c:order val="2"/>
          <c:tx>
            <c:strRef>
              <c:f>'圖表1 '!$D$3</c:f>
              <c:strCache>
                <c:ptCount val="1"/>
                <c:pt idx="0">
                  <c:v>平均出席人次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Val val="1"/>
          </c:dLbls>
          <c:cat>
            <c:strRef>
              <c:f>'圖表1 '!$A$4:$A$8</c:f>
              <c:strCache>
                <c:ptCount val="5"/>
                <c:pt idx="0">
                  <c:v>108年</c:v>
                </c:pt>
                <c:pt idx="1">
                  <c:v>107年</c:v>
                </c:pt>
                <c:pt idx="2">
                  <c:v>106年</c:v>
                </c:pt>
                <c:pt idx="3">
                  <c:v>105年</c:v>
                </c:pt>
                <c:pt idx="4">
                  <c:v>104年</c:v>
                </c:pt>
              </c:strCache>
            </c:strRef>
          </c:cat>
          <c:val>
            <c:numRef>
              <c:f>'圖表1 '!$D$4:$D$8</c:f>
              <c:numCache>
                <c:formatCode>#,##0_ </c:formatCode>
                <c:ptCount val="5"/>
                <c:pt idx="0">
                  <c:v>1677.0025839793282</c:v>
                </c:pt>
                <c:pt idx="1">
                  <c:v>1580.9248554913297</c:v>
                </c:pt>
                <c:pt idx="2">
                  <c:v>1183.2298136645961</c:v>
                </c:pt>
                <c:pt idx="3">
                  <c:v>1091.1602209944747</c:v>
                </c:pt>
                <c:pt idx="4">
                  <c:v>1152.0467836257312</c:v>
                </c:pt>
              </c:numCache>
            </c:numRef>
          </c:val>
        </c:ser>
        <c:marker val="1"/>
        <c:axId val="93079040"/>
        <c:axId val="93112576"/>
      </c:lineChart>
      <c:catAx>
        <c:axId val="9307904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93112576"/>
        <c:crosses val="autoZero"/>
        <c:auto val="1"/>
        <c:lblAlgn val="ctr"/>
        <c:lblOffset val="100"/>
      </c:catAx>
      <c:valAx>
        <c:axId val="93112576"/>
        <c:scaling>
          <c:orientation val="minMax"/>
        </c:scaling>
        <c:axPos val="l"/>
        <c:numFmt formatCode="General" sourceLinked="1"/>
        <c:maj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9307904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9.6069893653731531E-2"/>
          <c:y val="0.89860295049325722"/>
          <c:w val="0.82314416873189644"/>
          <c:h val="7.6923160467010643E-2"/>
        </c:manualLayout>
      </c:layout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 sz="1200" b="1"/>
              <a:t>圖二、</a:t>
            </a:r>
            <a:r>
              <a:rPr lang="en-US" altLang="zh-TW" sz="1200" b="1"/>
              <a:t>108</a:t>
            </a:r>
            <a:r>
              <a:rPr lang="zh-TW" altLang="en-US" sz="1200" b="1"/>
              <a:t>年及</a:t>
            </a:r>
            <a:r>
              <a:rPr lang="en-US" altLang="zh-TW" sz="1200" b="1"/>
              <a:t>107</a:t>
            </a:r>
            <a:r>
              <a:rPr lang="zh-TW" altLang="en-US" sz="1200" b="1"/>
              <a:t>年藝文展演活動類別占比</a:t>
            </a:r>
          </a:p>
        </c:rich>
      </c:tx>
      <c:layout>
        <c:manualLayout>
          <c:xMode val="edge"/>
          <c:yMode val="edge"/>
          <c:x val="0.25119451478256849"/>
          <c:y val="1.778900893202303E-2"/>
        </c:manualLayout>
      </c:layout>
      <c:spPr>
        <a:noFill/>
        <a:ln w="25400">
          <a:noFill/>
        </a:ln>
      </c:spPr>
    </c:title>
    <c:plotArea>
      <c:layout/>
      <c:barChart>
        <c:barDir val="bar"/>
        <c:grouping val="clustered"/>
        <c:ser>
          <c:idx val="3"/>
          <c:order val="0"/>
          <c:tx>
            <c:strRef>
              <c:f>圖表2!$A$10</c:f>
              <c:strCache>
                <c:ptCount val="1"/>
                <c:pt idx="0">
                  <c:v>108年度</c:v>
                </c:pt>
              </c:strCache>
            </c:strRef>
          </c:tx>
          <c:spPr>
            <a:solidFill>
              <a:srgbClr val="FFC000"/>
            </a:solidFill>
            <a:ln w="25400">
              <a:noFill/>
            </a:ln>
          </c:spP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Val val="1"/>
          </c:dLbls>
          <c:cat>
            <c:strRef>
              <c:f>圖表2!$B$6:$N$6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圖表2!$B$10:$N$10</c:f>
              <c:numCache>
                <c:formatCode>General</c:formatCode>
                <c:ptCount val="13"/>
                <c:pt idx="0">
                  <c:v>17.05</c:v>
                </c:pt>
                <c:pt idx="1">
                  <c:v>3.36</c:v>
                </c:pt>
                <c:pt idx="2">
                  <c:v>2.58</c:v>
                </c:pt>
                <c:pt idx="3">
                  <c:v>13.44</c:v>
                </c:pt>
                <c:pt idx="4">
                  <c:v>3.1</c:v>
                </c:pt>
                <c:pt idx="5">
                  <c:v>4.13</c:v>
                </c:pt>
                <c:pt idx="6">
                  <c:v>3.1</c:v>
                </c:pt>
                <c:pt idx="7">
                  <c:v>0.26</c:v>
                </c:pt>
                <c:pt idx="8">
                  <c:v>5.4300000000000006</c:v>
                </c:pt>
                <c:pt idx="9">
                  <c:v>11.629999999999999</c:v>
                </c:pt>
                <c:pt idx="10">
                  <c:v>13.44</c:v>
                </c:pt>
                <c:pt idx="11">
                  <c:v>0</c:v>
                </c:pt>
                <c:pt idx="12">
                  <c:v>22.479999999999997</c:v>
                </c:pt>
              </c:numCache>
            </c:numRef>
          </c:val>
        </c:ser>
        <c:ser>
          <c:idx val="4"/>
          <c:order val="1"/>
          <c:tx>
            <c:strRef>
              <c:f>圖表2!$A$11</c:f>
              <c:strCache>
                <c:ptCount val="1"/>
                <c:pt idx="0">
                  <c:v>107年度</c:v>
                </c:pt>
              </c:strCache>
            </c:strRef>
          </c:tx>
          <c:spPr>
            <a:solidFill>
              <a:srgbClr val="4472C4"/>
            </a:solidFill>
            <a:ln w="25400">
              <a:noFill/>
            </a:ln>
          </c:spP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Val val="1"/>
          </c:dLbls>
          <c:cat>
            <c:strRef>
              <c:f>圖表2!$B$6:$N$6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圖表2!$B$11:$N$11</c:f>
              <c:numCache>
                <c:formatCode>#,##0.00;[Red]\-#,##0.00</c:formatCode>
                <c:ptCount val="13"/>
                <c:pt idx="0">
                  <c:v>15.6</c:v>
                </c:pt>
                <c:pt idx="1">
                  <c:v>1.74</c:v>
                </c:pt>
                <c:pt idx="2">
                  <c:v>2.8899999999999997</c:v>
                </c:pt>
                <c:pt idx="3">
                  <c:v>10.98</c:v>
                </c:pt>
                <c:pt idx="4">
                  <c:v>4.91</c:v>
                </c:pt>
                <c:pt idx="5">
                  <c:v>4.91</c:v>
                </c:pt>
                <c:pt idx="6">
                  <c:v>3.4699999999999998</c:v>
                </c:pt>
                <c:pt idx="7">
                  <c:v>0.29000000000000004</c:v>
                </c:pt>
                <c:pt idx="8">
                  <c:v>5.49</c:v>
                </c:pt>
                <c:pt idx="9">
                  <c:v>13.01</c:v>
                </c:pt>
                <c:pt idx="10">
                  <c:v>14.739999999999998</c:v>
                </c:pt>
                <c:pt idx="11">
                  <c:v>0</c:v>
                </c:pt>
                <c:pt idx="12">
                  <c:v>21.97</c:v>
                </c:pt>
              </c:numCache>
            </c:numRef>
          </c:val>
        </c:ser>
        <c:gapWidth val="182"/>
        <c:axId val="178972160"/>
        <c:axId val="180308608"/>
      </c:barChart>
      <c:catAx>
        <c:axId val="178972160"/>
        <c:scaling>
          <c:orientation val="minMax"/>
        </c:scaling>
        <c:axPos val="l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sz="800" b="1"/>
                  <a:t>活動類別</a:t>
                </a:r>
              </a:p>
            </c:rich>
          </c:tx>
          <c:layout>
            <c:manualLayout>
              <c:xMode val="edge"/>
              <c:yMode val="edge"/>
              <c:x val="0.20555551701411767"/>
              <c:y val="6.4843313190502364E-2"/>
            </c:manualLayout>
          </c:layout>
          <c:spPr>
            <a:noFill/>
            <a:ln w="25400">
              <a:noFill/>
            </a:ln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80308608"/>
        <c:crosses val="autoZero"/>
        <c:auto val="1"/>
        <c:lblAlgn val="ctr"/>
        <c:lblOffset val="100"/>
      </c:catAx>
      <c:valAx>
        <c:axId val="180308608"/>
        <c:scaling>
          <c:orientation val="minMax"/>
        </c:scaling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 sz="800" b="1"/>
                  <a:t>百分比</a:t>
                </a:r>
              </a:p>
            </c:rich>
          </c:tx>
          <c:layout>
            <c:manualLayout>
              <c:xMode val="edge"/>
              <c:yMode val="edge"/>
              <c:x val="0.86885635991536259"/>
              <c:y val="0.87068579218295383"/>
            </c:manualLayout>
          </c:layout>
          <c:spPr>
            <a:noFill/>
            <a:ln w="25400">
              <a:noFill/>
            </a:ln>
          </c:spPr>
        </c:title>
        <c:numFmt formatCode="General" sourceLinked="1"/>
        <c:maj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7897216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7004451536069044"/>
          <c:y val="0.94335933589696586"/>
          <c:w val="0.13969613930417291"/>
          <c:h val="5.6640664103033589E-2"/>
        </c:manualLayout>
      </c:layout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1"/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TW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/>
              <a:t>圖三、各縣市藝文活動展演個數及平均出席人次</a:t>
            </a:r>
          </a:p>
        </c:rich>
      </c:tx>
      <c:layout>
        <c:manualLayout>
          <c:xMode val="edge"/>
          <c:yMode val="edge"/>
          <c:x val="0.23433850314165275"/>
          <c:y val="2.9574867956320292E-2"/>
        </c:manualLayout>
      </c:layout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7.0205208964264076E-2"/>
          <c:y val="0.11911275415896494"/>
          <c:w val="0.87132245392402874"/>
          <c:h val="0.59934067853348316"/>
        </c:manualLayout>
      </c:layout>
      <c:barChart>
        <c:barDir val="col"/>
        <c:grouping val="clustered"/>
        <c:ser>
          <c:idx val="0"/>
          <c:order val="0"/>
          <c:tx>
            <c:strRef>
              <c:f>'圖表3 (2)'!$B$5</c:f>
              <c:strCache>
                <c:ptCount val="1"/>
                <c:pt idx="0">
                  <c:v>活動個數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cat>
            <c:strRef>
              <c:f>'圖表3 (2)'!$A$6:$A$27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'圖表3 (2)'!$B$6:$B$27</c:f>
              <c:numCache>
                <c:formatCode>#,##0_ </c:formatCode>
                <c:ptCount val="22"/>
                <c:pt idx="0">
                  <c:v>7365</c:v>
                </c:pt>
                <c:pt idx="1">
                  <c:v>7577</c:v>
                </c:pt>
                <c:pt idx="2">
                  <c:v>6545</c:v>
                </c:pt>
                <c:pt idx="3">
                  <c:v>6317</c:v>
                </c:pt>
                <c:pt idx="4">
                  <c:v>5581</c:v>
                </c:pt>
                <c:pt idx="5">
                  <c:v>7023</c:v>
                </c:pt>
                <c:pt idx="6">
                  <c:v>1806</c:v>
                </c:pt>
                <c:pt idx="7">
                  <c:v>800</c:v>
                </c:pt>
                <c:pt idx="8">
                  <c:v>1027</c:v>
                </c:pt>
                <c:pt idx="9">
                  <c:v>2264</c:v>
                </c:pt>
                <c:pt idx="10">
                  <c:v>1716</c:v>
                </c:pt>
                <c:pt idx="11">
                  <c:v>949</c:v>
                </c:pt>
                <c:pt idx="12">
                  <c:v>837</c:v>
                </c:pt>
                <c:pt idx="13">
                  <c:v>1360</c:v>
                </c:pt>
                <c:pt idx="14">
                  <c:v>1160</c:v>
                </c:pt>
                <c:pt idx="15">
                  <c:v>1032</c:v>
                </c:pt>
                <c:pt idx="16">
                  <c:v>387</c:v>
                </c:pt>
                <c:pt idx="17">
                  <c:v>701</c:v>
                </c:pt>
                <c:pt idx="18">
                  <c:v>1598</c:v>
                </c:pt>
                <c:pt idx="19">
                  <c:v>503</c:v>
                </c:pt>
                <c:pt idx="20">
                  <c:v>557</c:v>
                </c:pt>
                <c:pt idx="21">
                  <c:v>144</c:v>
                </c:pt>
              </c:numCache>
            </c:numRef>
          </c:val>
        </c:ser>
        <c:axId val="189859712"/>
        <c:axId val="189861248"/>
      </c:barChart>
      <c:lineChart>
        <c:grouping val="standard"/>
        <c:ser>
          <c:idx val="1"/>
          <c:order val="1"/>
          <c:tx>
            <c:strRef>
              <c:f>'圖表3 (2)'!$C$5</c:f>
              <c:strCache>
                <c:ptCount val="1"/>
                <c:pt idx="0">
                  <c:v>平均出席人次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Val val="1"/>
          </c:dLbls>
          <c:cat>
            <c:strRef>
              <c:f>'圖表3 (2)'!$A$6:$A$27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'圖表3 (2)'!$C$6:$C$27</c:f>
              <c:numCache>
                <c:formatCode>#,##0.00_ </c:formatCode>
                <c:ptCount val="22"/>
                <c:pt idx="0">
                  <c:v>4.6200950441276305</c:v>
                </c:pt>
                <c:pt idx="1">
                  <c:v>7.0308829351986279</c:v>
                </c:pt>
                <c:pt idx="2">
                  <c:v>3.0355996944232233</c:v>
                </c:pt>
                <c:pt idx="3">
                  <c:v>4.8530948234921638</c:v>
                </c:pt>
                <c:pt idx="4">
                  <c:v>2.5206952159111271</c:v>
                </c:pt>
                <c:pt idx="5">
                  <c:v>4.8428022212729607</c:v>
                </c:pt>
                <c:pt idx="6">
                  <c:v>3.7159468438538203</c:v>
                </c:pt>
                <c:pt idx="7">
                  <c:v>2.0625</c:v>
                </c:pt>
                <c:pt idx="8">
                  <c:v>3.3583252190847128</c:v>
                </c:pt>
                <c:pt idx="9">
                  <c:v>3.8617491166077738</c:v>
                </c:pt>
                <c:pt idx="10">
                  <c:v>5.2290209790209783</c:v>
                </c:pt>
                <c:pt idx="11">
                  <c:v>2.9494204425711281</c:v>
                </c:pt>
                <c:pt idx="12">
                  <c:v>3.3548387096774195</c:v>
                </c:pt>
                <c:pt idx="13">
                  <c:v>12.822794117647062</c:v>
                </c:pt>
                <c:pt idx="14">
                  <c:v>2.3387931034482756</c:v>
                </c:pt>
                <c:pt idx="15">
                  <c:v>4.1802325581395348</c:v>
                </c:pt>
                <c:pt idx="16">
                  <c:v>1.6770025839793281</c:v>
                </c:pt>
                <c:pt idx="17">
                  <c:v>2.4864479315263908</c:v>
                </c:pt>
                <c:pt idx="18">
                  <c:v>3.5832290362953692</c:v>
                </c:pt>
                <c:pt idx="19">
                  <c:v>1.4234592445328029</c:v>
                </c:pt>
                <c:pt idx="20">
                  <c:v>1.7701974865350092</c:v>
                </c:pt>
                <c:pt idx="21">
                  <c:v>0.4027777777777779</c:v>
                </c:pt>
              </c:numCache>
            </c:numRef>
          </c:val>
        </c:ser>
        <c:marker val="1"/>
        <c:axId val="190010496"/>
        <c:axId val="195005824"/>
      </c:lineChart>
      <c:catAx>
        <c:axId val="189859712"/>
        <c:scaling>
          <c:orientation val="minMax"/>
        </c:scaling>
        <c:axPos val="b"/>
        <c:numFmt formatCode="@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wordArtVertRtl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89861248"/>
        <c:crosses val="autoZero"/>
        <c:auto val="1"/>
        <c:lblAlgn val="ctr"/>
        <c:lblOffset val="100"/>
      </c:catAx>
      <c:valAx>
        <c:axId val="189861248"/>
        <c:scaling>
          <c:orientation val="minMax"/>
        </c:scaling>
        <c:axPos val="l"/>
        <c:numFmt formatCode="#,##0_ " sourceLinked="1"/>
        <c:maj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89859712"/>
        <c:crosses val="autoZero"/>
        <c:crossBetween val="between"/>
      </c:valAx>
      <c:catAx>
        <c:axId val="190010496"/>
        <c:scaling>
          <c:orientation val="minMax"/>
        </c:scaling>
        <c:delete val="1"/>
        <c:axPos val="b"/>
        <c:tickLblPos val="none"/>
        <c:crossAx val="195005824"/>
        <c:crosses val="autoZero"/>
        <c:auto val="1"/>
        <c:lblAlgn val="ctr"/>
        <c:lblOffset val="100"/>
      </c:catAx>
      <c:valAx>
        <c:axId val="195005824"/>
        <c:scaling>
          <c:orientation val="minMax"/>
        </c:scaling>
        <c:axPos val="r"/>
        <c:numFmt formatCode="#,##0.00_ " sourceLinked="1"/>
        <c:tickLblPos val="nextTo"/>
        <c:crossAx val="190010496"/>
        <c:crosses val="max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3636411357671236"/>
          <c:y val="0.91049641942905291"/>
          <c:w val="0.33484896206156101"/>
          <c:h val="6.7901558601471068E-2"/>
        </c:manualLayout>
      </c:layout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1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0.07984</cdr:x>
      <cdr:y>0.04295</cdr:y>
    </cdr:from>
    <cdr:to>
      <cdr:x>0.20269</cdr:x>
      <cdr:y>0.08057</cdr:y>
    </cdr:to>
    <cdr:sp macro="" textlink="">
      <cdr:nvSpPr>
        <cdr:cNvPr id="2" name="文字方塊 1"/>
        <cdr:cNvSpPr txBox="1"/>
      </cdr:nvSpPr>
      <cdr:spPr>
        <a:xfrm xmlns:a="http://schemas.openxmlformats.org/drawingml/2006/main">
          <a:off x="346075" y="247650"/>
          <a:ext cx="527050" cy="2222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zh-TW" altLang="en-US"/>
        </a:p>
      </cdr:txBody>
    </cdr:sp>
  </cdr:relSizeAnchor>
</c:userShape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3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fs20890</cp:lastModifiedBy>
  <cp:revision>54</cp:revision>
  <cp:lastPrinted>2018-08-08T08:36:00Z</cp:lastPrinted>
  <dcterms:created xsi:type="dcterms:W3CDTF">2020-08-11T08:16:00Z</dcterms:created>
  <dcterms:modified xsi:type="dcterms:W3CDTF">2020-08-21T03:09:00Z</dcterms:modified>
</cp:coreProperties>
</file>