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89310" w14:textId="62B3CF8B" w:rsidR="00BF4575" w:rsidRPr="00BF4575" w:rsidRDefault="00BF4575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  <w:r w:rsidRPr="00BF4575">
        <w:rPr>
          <w:rFonts w:ascii="標楷體" w:eastAsia="標楷體" w:hAnsi="標楷體" w:hint="eastAsia"/>
          <w:sz w:val="48"/>
          <w:szCs w:val="48"/>
        </w:rPr>
        <w:t>澎湖縣政府文化局統計通報</w:t>
      </w:r>
    </w:p>
    <w:p w14:paraId="073EBFC2" w14:textId="344C55E7" w:rsidR="00BF4575" w:rsidRDefault="00BF4575" w:rsidP="00BF4575">
      <w:pPr>
        <w:autoSpaceDE w:val="0"/>
        <w:autoSpaceDN w:val="0"/>
        <w:adjustRightInd w:val="0"/>
        <w:spacing w:line="440" w:lineRule="exact"/>
        <w:ind w:firstLineChars="200" w:firstLine="800"/>
        <w:jc w:val="center"/>
        <w:rPr>
          <w:rFonts w:ascii="標楷體" w:eastAsia="標楷體" w:hAnsi="標楷體"/>
          <w:sz w:val="40"/>
          <w:szCs w:val="40"/>
        </w:rPr>
      </w:pPr>
      <w:r w:rsidRPr="00BF4575">
        <w:rPr>
          <w:rFonts w:ascii="標楷體" w:eastAsia="標楷體" w:hAnsi="標楷體" w:hint="eastAsia"/>
          <w:sz w:val="40"/>
          <w:szCs w:val="40"/>
        </w:rPr>
        <w:t>澎湖縣藝文展演活動概況</w:t>
      </w:r>
    </w:p>
    <w:p w14:paraId="0D4F1B2B" w14:textId="15B1F43F" w:rsidR="00BF4575" w:rsidRPr="00BF4575" w:rsidRDefault="00BF4575" w:rsidP="00BF4575">
      <w:pPr>
        <w:autoSpaceDE w:val="0"/>
        <w:autoSpaceDN w:val="0"/>
        <w:adjustRightInd w:val="0"/>
        <w:spacing w:line="440" w:lineRule="exact"/>
        <w:ind w:firstLineChars="200" w:firstLine="800"/>
        <w:jc w:val="center"/>
        <w:rPr>
          <w:rFonts w:ascii="標楷體" w:eastAsia="標楷體" w:hAnsi="標楷體"/>
          <w:sz w:val="40"/>
          <w:szCs w:val="40"/>
        </w:rPr>
      </w:pPr>
    </w:p>
    <w:p w14:paraId="2ED2021C" w14:textId="1A67E8EA" w:rsidR="00E472C4" w:rsidRPr="00827419" w:rsidRDefault="00C41371" w:rsidP="00C41371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827419">
        <w:rPr>
          <w:rFonts w:ascii="標楷體" w:eastAsia="標楷體" w:hAnsi="標楷體" w:hint="eastAsia"/>
          <w:sz w:val="28"/>
          <w:szCs w:val="28"/>
        </w:rPr>
        <w:t>「文化」</w:t>
      </w:r>
      <w:r w:rsidR="0094170C" w:rsidRPr="00827419">
        <w:rPr>
          <w:rFonts w:ascii="標楷體" w:eastAsia="標楷體" w:hAnsi="標楷體" w:hint="eastAsia"/>
          <w:sz w:val="28"/>
          <w:szCs w:val="28"/>
        </w:rPr>
        <w:t>的內涵</w:t>
      </w:r>
      <w:r w:rsidR="002A7991" w:rsidRPr="00827419">
        <w:rPr>
          <w:rFonts w:ascii="標楷體" w:eastAsia="標楷體" w:hAnsi="標楷體" w:hint="eastAsia"/>
          <w:sz w:val="28"/>
          <w:szCs w:val="28"/>
        </w:rPr>
        <w:t>，</w:t>
      </w:r>
      <w:r w:rsidR="00302F9C" w:rsidRPr="00827419">
        <w:rPr>
          <w:rFonts w:ascii="標楷體" w:eastAsia="標楷體" w:hAnsi="標楷體" w:hint="eastAsia"/>
          <w:sz w:val="28"/>
          <w:szCs w:val="28"/>
        </w:rPr>
        <w:t>一般而言，廣義的文化，是指一特定社會中，人們共有或接受的信仰、生活方式、藝術與習俗。狹義的文化，是指藝術、音樂與文學，簡單地說，就是「藝術」。</w:t>
      </w:r>
      <w:r w:rsidR="005B08E1" w:rsidRPr="00827419">
        <w:rPr>
          <w:rFonts w:ascii="標楷體" w:eastAsia="標楷體" w:hAnsi="標楷體" w:hint="eastAsia"/>
          <w:sz w:val="28"/>
          <w:szCs w:val="28"/>
        </w:rPr>
        <w:t>而</w:t>
      </w:r>
      <w:r w:rsidR="00A7013D" w:rsidRPr="00827419">
        <w:rPr>
          <w:rFonts w:ascii="標楷體" w:eastAsia="標楷體" w:hAnsi="標楷體" w:hint="eastAsia"/>
          <w:sz w:val="28"/>
          <w:szCs w:val="28"/>
        </w:rPr>
        <w:t>藝術代表國家形象，被視為精神生活水準的指標。</w:t>
      </w:r>
      <w:r w:rsidR="005B08E1" w:rsidRPr="00827419">
        <w:rPr>
          <w:rFonts w:ascii="標楷體" w:eastAsia="標楷體" w:hAnsi="標楷體" w:hint="eastAsia"/>
          <w:sz w:val="28"/>
          <w:szCs w:val="28"/>
        </w:rPr>
        <w:t>隨著社會</w:t>
      </w:r>
      <w:r w:rsidR="0094170C" w:rsidRPr="00827419">
        <w:rPr>
          <w:rFonts w:ascii="標楷體" w:eastAsia="標楷體" w:hAnsi="標楷體" w:hint="eastAsia"/>
          <w:sz w:val="28"/>
          <w:szCs w:val="28"/>
        </w:rPr>
        <w:t>日益</w:t>
      </w:r>
      <w:r w:rsidR="005B08E1" w:rsidRPr="00827419">
        <w:rPr>
          <w:rFonts w:ascii="標楷體" w:eastAsia="標楷體" w:hAnsi="標楷體" w:hint="eastAsia"/>
          <w:sz w:val="28"/>
          <w:szCs w:val="28"/>
        </w:rPr>
        <w:t>進步</w:t>
      </w:r>
      <w:r w:rsidR="00A7013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大眾對悠閒心靈的重視及追求，已由民生需求的滿足逐漸延展至精神層面的追求，從文化藝術活動舉辦場次與民眾出席人數的增多皆可略見一二。玆依據文化部統計資料，概述本縣藝文展演活動，以了解本縣文化藝術活動發展的情形。</w:t>
      </w:r>
    </w:p>
    <w:p w14:paraId="49A7BC92" w14:textId="6660EB7F" w:rsidR="00E472C4" w:rsidRDefault="00A46385" w:rsidP="00C2305A">
      <w:pPr>
        <w:autoSpaceDE w:val="0"/>
        <w:autoSpaceDN w:val="0"/>
        <w:adjustRightInd w:val="0"/>
        <w:spacing w:line="440" w:lineRule="exact"/>
        <w:ind w:firstLineChars="200" w:firstLine="48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46600E4D" wp14:editId="1221C742">
            <wp:simplePos x="0" y="0"/>
            <wp:positionH relativeFrom="margin">
              <wp:align>right</wp:align>
            </wp:positionH>
            <wp:positionV relativeFrom="paragraph">
              <wp:posOffset>2870200</wp:posOffset>
            </wp:positionV>
            <wp:extent cx="5276850" cy="2895600"/>
            <wp:effectExtent l="0" t="0" r="0" b="0"/>
            <wp:wrapTopAndBottom/>
            <wp:docPr id="1" name="圖表 1">
              <a:extLst xmlns:a="http://schemas.openxmlformats.org/drawingml/2006/main">
                <a:ext uri="{FF2B5EF4-FFF2-40B4-BE49-F238E27FC236}">
                  <a16:creationId xmlns:a16="http://schemas.microsoft.com/office/drawing/2014/main" id="{97B8D62C-0F5F-BEA4-84B9-4F8BA97686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一、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5D573C">
        <w:rPr>
          <w:rFonts w:ascii="標楷體" w:eastAsia="標楷體" w:hAnsi="標楷體" w:cs="DFKaiShu-SB-Estd-BF" w:hint="eastAsia"/>
          <w:kern w:val="0"/>
          <w:sz w:val="28"/>
          <w:szCs w:val="28"/>
        </w:rPr>
        <w:t>10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年本縣藝文展演活動個數較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5D573C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減少2</w:t>
      </w:r>
      <w:r w:rsidR="005D573C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.8</w:t>
      </w:r>
      <w:r w:rsidR="005D573C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，出席人次</w:t>
      </w:r>
      <w:r w:rsidR="005D573C">
        <w:rPr>
          <w:rFonts w:ascii="標楷體" w:eastAsia="標楷體" w:hAnsi="標楷體" w:cs="DFKaiShu-SB-Estd-BF" w:hint="eastAsia"/>
          <w:kern w:val="0"/>
          <w:sz w:val="28"/>
          <w:szCs w:val="28"/>
        </w:rPr>
        <w:t>減少58</w:t>
      </w:r>
      <w:r w:rsidR="00973A4B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5D573C">
        <w:rPr>
          <w:rFonts w:ascii="標楷體" w:eastAsia="標楷體" w:hAnsi="標楷體" w:cs="DFKaiShu-SB-Estd-BF" w:hint="eastAsia"/>
          <w:kern w:val="0"/>
          <w:sz w:val="28"/>
          <w:szCs w:val="28"/>
        </w:rPr>
        <w:t>46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，平均出席人次</w:t>
      </w:r>
      <w:r w:rsidR="00B46871">
        <w:rPr>
          <w:rFonts w:ascii="標楷體" w:eastAsia="標楷體" w:hAnsi="標楷體" w:cs="DFKaiShu-SB-Estd-BF" w:hint="eastAsia"/>
          <w:kern w:val="0"/>
          <w:sz w:val="28"/>
          <w:szCs w:val="28"/>
        </w:rPr>
        <w:t>減少42</w:t>
      </w:r>
      <w:r w:rsidR="00973A4B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B46871">
        <w:rPr>
          <w:rFonts w:ascii="標楷體" w:eastAsia="標楷體" w:hAnsi="標楷體" w:cs="DFKaiShu-SB-Estd-BF" w:hint="eastAsia"/>
          <w:kern w:val="0"/>
          <w:sz w:val="28"/>
          <w:szCs w:val="28"/>
        </w:rPr>
        <w:t>44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="00255824">
        <w:rPr>
          <w:rFonts w:ascii="標楷體" w:eastAsia="標楷體" w:hAnsi="標楷體" w:cs="DFKaiShu-SB-Estd-BF"/>
          <w:kern w:val="0"/>
          <w:sz w:val="28"/>
          <w:szCs w:val="28"/>
        </w:rPr>
        <w:br/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依</w:t>
      </w:r>
      <w:r w:rsidR="0071346D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據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文化部統計，</w:t>
      </w:r>
      <w:r w:rsidR="00E472C4" w:rsidRPr="00425888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B46871">
        <w:rPr>
          <w:rFonts w:ascii="標楷體" w:eastAsia="標楷體" w:hAnsi="標楷體" w:cs="DFKaiShu-SB-Estd-BF" w:hint="eastAsia"/>
          <w:kern w:val="0"/>
          <w:sz w:val="28"/>
          <w:szCs w:val="28"/>
        </w:rPr>
        <w:t>10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年本縣藝文展演活動共計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21</w:t>
      </w:r>
      <w:r w:rsidR="00B46871">
        <w:rPr>
          <w:rFonts w:ascii="標楷體" w:eastAsia="標楷體" w:hAnsi="標楷體" w:cs="DFKaiShu-SB-Estd-BF" w:hint="eastAsia"/>
          <w:kern w:val="0"/>
          <w:sz w:val="28"/>
          <w:szCs w:val="28"/>
        </w:rPr>
        <w:t>0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個，較</w:t>
      </w:r>
      <w:r w:rsidR="00AC3A51"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B46871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減少2</w:t>
      </w:r>
      <w:r w:rsidR="00121976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121976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="00E472C4" w:rsidRPr="0042588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；出席人次</w:t>
      </w:r>
      <w:r w:rsidR="00121976">
        <w:rPr>
          <w:rFonts w:ascii="標楷體" w:eastAsia="標楷體" w:hAnsi="標楷體" w:cs="DFKaiShu-SB-Estd-BF" w:hint="eastAsia"/>
          <w:kern w:val="0"/>
          <w:sz w:val="28"/>
          <w:szCs w:val="28"/>
        </w:rPr>
        <w:t>280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千人次，</w:t>
      </w:r>
      <w:r w:rsidR="00121976">
        <w:rPr>
          <w:rFonts w:ascii="標楷體" w:eastAsia="標楷體" w:hAnsi="標楷體" w:cs="DFKaiShu-SB-Estd-BF" w:hint="eastAsia"/>
          <w:kern w:val="0"/>
          <w:sz w:val="28"/>
          <w:szCs w:val="28"/>
        </w:rPr>
        <w:t>較109年減少58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121976">
        <w:rPr>
          <w:rFonts w:ascii="標楷體" w:eastAsia="標楷體" w:hAnsi="標楷體" w:cs="DFKaiShu-SB-Estd-BF" w:hint="eastAsia"/>
          <w:kern w:val="0"/>
          <w:sz w:val="28"/>
          <w:szCs w:val="28"/>
        </w:rPr>
        <w:t>46</w:t>
      </w:r>
      <w:r w:rsidR="00E472C4" w:rsidRPr="0042588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；與</w:t>
      </w:r>
      <w:r w:rsidR="00E472C4"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121976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年相比觀察，活動個數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因疫情之故取消部分活動辦理，</w:t>
      </w:r>
      <w:r w:rsidR="00C2305A">
        <w:rPr>
          <w:rFonts w:ascii="標楷體" w:eastAsia="標楷體" w:hAnsi="標楷體" w:hint="eastAsia"/>
          <w:sz w:val="28"/>
          <w:szCs w:val="28"/>
        </w:rPr>
        <w:t>且提升管制期間</w:t>
      </w:r>
      <w:r w:rsidR="00C2305A" w:rsidRPr="00C2305A">
        <w:rPr>
          <w:rFonts w:ascii="標楷體" w:eastAsia="標楷體" w:hAnsi="標楷體" w:hint="eastAsia"/>
          <w:sz w:val="28"/>
          <w:szCs w:val="28"/>
        </w:rPr>
        <w:t>嚴禁限制室內、外聚集人數，大幅影響參加人次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觀察</w:t>
      </w:r>
      <w:r w:rsidR="00C2305A" w:rsidRPr="00C2305A">
        <w:rPr>
          <w:rFonts w:ascii="標楷體" w:eastAsia="標楷體" w:hAnsi="標楷體" w:cs="DFKaiShu-SB-Estd-BF" w:hint="eastAsia"/>
          <w:kern w:val="0"/>
          <w:sz w:val="28"/>
          <w:szCs w:val="28"/>
        </w:rPr>
        <w:t>近</w:t>
      </w:r>
      <w:r w:rsidR="00E472C4" w:rsidRPr="00425888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個年度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活動個數</w:t>
      </w:r>
      <w:r w:rsidR="00C2305A">
        <w:rPr>
          <w:rFonts w:ascii="標楷體" w:eastAsia="標楷體" w:hAnsi="標楷體" w:cs="DFKaiShu-SB-Estd-BF" w:hint="eastAsia"/>
          <w:kern w:val="0"/>
          <w:sz w:val="28"/>
          <w:szCs w:val="28"/>
        </w:rPr>
        <w:t>，各縣市本(110)年度明顯減少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C2305A">
        <w:rPr>
          <w:rFonts w:ascii="標楷體" w:eastAsia="標楷體" w:hAnsi="標楷體" w:cs="DFKaiShu-SB-Estd-BF" w:hint="eastAsia"/>
          <w:kern w:val="0"/>
          <w:sz w:val="28"/>
          <w:szCs w:val="28"/>
        </w:rPr>
        <w:t>若按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平均出席人次來看，</w:t>
      </w:r>
      <w:r w:rsidR="00E472C4" w:rsidRPr="00425888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C2305A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E472C4" w:rsidRPr="00425888">
        <w:rPr>
          <w:rFonts w:ascii="標楷體" w:eastAsia="標楷體" w:hAnsi="標楷體" w:cs="DFKaiShu-SB-Estd-BF"/>
          <w:kern w:val="0"/>
          <w:sz w:val="28"/>
          <w:szCs w:val="28"/>
        </w:rPr>
        <w:t>0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年較</w:t>
      </w:r>
      <w:r w:rsidR="00E472C4"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C2305A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053B0C">
        <w:rPr>
          <w:rFonts w:ascii="標楷體" w:eastAsia="標楷體" w:hAnsi="標楷體" w:cs="DFKaiShu-SB-Estd-BF" w:hint="eastAsia"/>
          <w:kern w:val="0"/>
          <w:sz w:val="28"/>
          <w:szCs w:val="28"/>
        </w:rPr>
        <w:t>驟降5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053B0C">
        <w:rPr>
          <w:rFonts w:ascii="標楷體" w:eastAsia="標楷體" w:hAnsi="標楷體" w:cs="DFKaiShu-SB-Estd-BF" w:hint="eastAsia"/>
          <w:kern w:val="0"/>
          <w:sz w:val="28"/>
          <w:szCs w:val="28"/>
        </w:rPr>
        <w:t>46</w:t>
      </w:r>
      <w:r w:rsidR="00E472C4" w:rsidRPr="0042588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053B0C">
        <w:rPr>
          <w:rFonts w:ascii="標楷體" w:eastAsia="標楷體" w:hAnsi="標楷體" w:cs="DFKaiShu-SB-Estd-BF" w:hint="eastAsia"/>
          <w:kern w:val="0"/>
          <w:sz w:val="28"/>
          <w:szCs w:val="28"/>
        </w:rPr>
        <w:t>，足見因疫情管制影響甚鉅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。若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與</w:t>
      </w:r>
      <w:r w:rsidR="00E472C4"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053B0C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相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比較，活動個數減少</w:t>
      </w:r>
      <w:r w:rsidR="00053B0C">
        <w:rPr>
          <w:rFonts w:ascii="標楷體" w:eastAsia="標楷體" w:hAnsi="標楷體" w:cs="DFKaiShu-SB-Estd-BF" w:hint="eastAsia"/>
          <w:kern w:val="0"/>
          <w:sz w:val="28"/>
          <w:szCs w:val="28"/>
        </w:rPr>
        <w:t>34</w:t>
      </w:r>
      <w:r w:rsidR="00740531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053B0C">
        <w:rPr>
          <w:rFonts w:ascii="標楷體" w:eastAsia="標楷體" w:hAnsi="標楷體" w:cs="DFKaiShu-SB-Estd-BF" w:hint="eastAsia"/>
          <w:kern w:val="0"/>
          <w:sz w:val="28"/>
          <w:szCs w:val="28"/>
        </w:rPr>
        <w:t>78</w:t>
      </w:r>
      <w:r w:rsidR="00E472C4" w:rsidRPr="0042588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053B0C">
        <w:rPr>
          <w:rFonts w:ascii="標楷體" w:eastAsia="標楷體" w:hAnsi="標楷體" w:cs="DFKaiShu-SB-Estd-BF" w:hint="eastAsia"/>
          <w:kern w:val="0"/>
          <w:sz w:val="28"/>
          <w:szCs w:val="28"/>
        </w:rPr>
        <w:t>且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出席人次</w:t>
      </w:r>
      <w:r w:rsidR="00053B0C">
        <w:rPr>
          <w:rFonts w:ascii="標楷體" w:eastAsia="標楷體" w:hAnsi="標楷體" w:cs="DFKaiShu-SB-Estd-BF" w:hint="eastAsia"/>
          <w:kern w:val="0"/>
          <w:sz w:val="28"/>
          <w:szCs w:val="28"/>
        </w:rPr>
        <w:t>亦減少26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053B0C">
        <w:rPr>
          <w:rFonts w:ascii="標楷體" w:eastAsia="標楷體" w:hAnsi="標楷體" w:cs="DFKaiShu-SB-Estd-BF" w:hint="eastAsia"/>
          <w:kern w:val="0"/>
          <w:sz w:val="28"/>
          <w:szCs w:val="28"/>
        </w:rPr>
        <w:t>51</w:t>
      </w:r>
      <w:r w:rsidR="00FB4B3A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%</w:t>
      </w:r>
      <w:r w:rsidR="00E472C4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，平均出席人次則增加</w:t>
      </w:r>
      <w:r w:rsidR="00740531">
        <w:rPr>
          <w:rFonts w:ascii="標楷體" w:eastAsia="標楷體" w:hAnsi="標楷體" w:cs="DFKaiShu-SB-Estd-BF" w:hint="eastAsia"/>
          <w:kern w:val="0"/>
          <w:sz w:val="28"/>
          <w:szCs w:val="28"/>
        </w:rPr>
        <w:t>12</w:t>
      </w:r>
      <w:r w:rsidR="00F6732D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FF7E4F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="00740531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E472C4" w:rsidRPr="0042588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605907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。(詳圖一)</w:t>
      </w:r>
      <w:r w:rsidR="00B726AA" w:rsidRPr="00425888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</w:p>
    <w:p w14:paraId="0C541E02" w14:textId="565F350C" w:rsidR="00E472C4" w:rsidRPr="007E7217" w:rsidRDefault="00E472C4" w:rsidP="00FB2910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lastRenderedPageBreak/>
        <w:t>二、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515953">
        <w:rPr>
          <w:rFonts w:ascii="標楷體" w:eastAsia="標楷體" w:hAnsi="標楷體" w:cs="DFKaiShu-SB-Estd-BF" w:hint="eastAsia"/>
          <w:kern w:val="0"/>
          <w:sz w:val="28"/>
          <w:szCs w:val="28"/>
        </w:rPr>
        <w:t>10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年本縣藝文展演活動類別以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民俗與</w:t>
      </w:r>
      <w:r w:rsidR="00515953">
        <w:rPr>
          <w:rFonts w:ascii="標楷體" w:eastAsia="標楷體" w:hAnsi="標楷體" w:cs="DFKaiShu-SB-Estd-BF" w:hint="eastAsia"/>
          <w:kern w:val="0"/>
          <w:sz w:val="28"/>
          <w:szCs w:val="28"/>
        </w:rPr>
        <w:t>文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化資產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</w:t>
      </w:r>
      <w:r w:rsidR="00515953">
        <w:rPr>
          <w:rFonts w:ascii="標楷體" w:eastAsia="標楷體" w:hAnsi="標楷體" w:cs="DFKaiShu-SB-Estd-BF" w:hint="eastAsia"/>
          <w:kern w:val="0"/>
          <w:sz w:val="28"/>
          <w:szCs w:val="28"/>
        </w:rPr>
        <w:t>及視覺藝術類分別各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515953">
        <w:rPr>
          <w:rFonts w:ascii="標楷體" w:eastAsia="標楷體" w:hAnsi="標楷體" w:cs="DFKaiShu-SB-Estd-BF" w:hint="eastAsia"/>
          <w:kern w:val="0"/>
          <w:sz w:val="28"/>
          <w:szCs w:val="28"/>
        </w:rPr>
        <w:t>0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最多，</w:t>
      </w:r>
      <w:r w:rsidR="00515953">
        <w:rPr>
          <w:rFonts w:ascii="標楷體" w:eastAsia="標楷體" w:hAnsi="標楷體" w:cs="DFKaiShu-SB-Estd-BF" w:hint="eastAsia"/>
          <w:kern w:val="0"/>
          <w:sz w:val="28"/>
          <w:szCs w:val="28"/>
        </w:rPr>
        <w:t>語文與圖書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類占1</w:t>
      </w:r>
      <w:r w:rsidR="00515953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515953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3B1168"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次之、</w:t>
      </w:r>
      <w:r w:rsidR="003A1DDA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再其次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綜合類</w:t>
      </w:r>
      <w:r w:rsidR="004F3B8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515953">
        <w:rPr>
          <w:rFonts w:ascii="標楷體" w:eastAsia="標楷體" w:hAnsi="標楷體" w:cs="DFKaiShu-SB-Estd-BF" w:hint="eastAsia"/>
          <w:kern w:val="0"/>
          <w:sz w:val="28"/>
          <w:szCs w:val="28"/>
        </w:rPr>
        <w:t>3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515953">
        <w:rPr>
          <w:rFonts w:ascii="標楷體" w:eastAsia="標楷體" w:hAnsi="標楷體" w:cs="DFKaiShu-SB-Estd-BF" w:hint="eastAsia"/>
          <w:kern w:val="0"/>
          <w:sz w:val="28"/>
          <w:szCs w:val="28"/>
        </w:rPr>
        <w:t>81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515953">
        <w:rPr>
          <w:rFonts w:ascii="標楷體" w:eastAsia="標楷體" w:hAnsi="標楷體" w:cs="DFKaiShu-SB-Estd-BF" w:hint="eastAsia"/>
          <w:kern w:val="0"/>
          <w:sz w:val="28"/>
          <w:szCs w:val="28"/>
        </w:rPr>
        <w:t>前揭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類合</w:t>
      </w:r>
      <w:r w:rsidR="00515953">
        <w:rPr>
          <w:rFonts w:ascii="標楷體" w:eastAsia="標楷體" w:hAnsi="標楷體" w:cs="DFKaiShu-SB-Estd-BF" w:hint="eastAsia"/>
          <w:kern w:val="0"/>
          <w:sz w:val="28"/>
          <w:szCs w:val="28"/>
        </w:rPr>
        <w:t>計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r w:rsidR="00515953">
        <w:rPr>
          <w:rFonts w:ascii="標楷體" w:eastAsia="標楷體" w:hAnsi="標楷體" w:cs="DFKaiShu-SB-Estd-BF" w:hint="eastAsia"/>
          <w:kern w:val="0"/>
          <w:sz w:val="28"/>
          <w:szCs w:val="28"/>
        </w:rPr>
        <w:t>73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="00255824">
        <w:rPr>
          <w:rFonts w:ascii="標楷體" w:eastAsia="標楷體" w:hAnsi="標楷體" w:cs="DFKaiShu-SB-Estd-BF"/>
          <w:kern w:val="0"/>
          <w:sz w:val="28"/>
          <w:szCs w:val="28"/>
        </w:rPr>
        <w:br/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從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年藝文展演活動類別觀察，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民俗與化資產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計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84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個最多占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FC589F"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視覺藝術類計5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AB740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居次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占1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59</w:t>
      </w:r>
      <w:r w:rsidR="00FC589F"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，再其次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綜合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類計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1個占14.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09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2B35F3" w:rsidRPr="00881A23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類合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計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2.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55</w:t>
      </w:r>
      <w:r w:rsidR="00FC589F"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="00FB2910">
        <w:rPr>
          <w:rFonts w:ascii="標楷體" w:eastAsia="標楷體" w:hAnsi="標楷體" w:cs="DFKaiShu-SB-Estd-BF"/>
          <w:kern w:val="0"/>
          <w:sz w:val="28"/>
          <w:szCs w:val="28"/>
        </w:rPr>
        <w:br/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若</w:t>
      </w:r>
      <w:r w:rsidR="008D77A6">
        <w:rPr>
          <w:rFonts w:ascii="標楷體" w:eastAsia="標楷體" w:hAnsi="標楷體" w:cs="DFKaiShu-SB-Estd-BF" w:hint="eastAsia"/>
          <w:kern w:val="0"/>
          <w:sz w:val="28"/>
          <w:szCs w:val="28"/>
        </w:rPr>
        <w:t>本(110)年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與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FB2910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年各類別所占比率比較觀察，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除</w:t>
      </w:r>
      <w:r w:rsidR="00FB2910">
        <w:rPr>
          <w:rFonts w:ascii="標楷體" w:eastAsia="標楷體" w:hAnsi="標楷體" w:cs="DFKaiShu-SB-Estd-BF" w:hint="eastAsia"/>
          <w:kern w:val="0"/>
          <w:sz w:val="28"/>
          <w:szCs w:val="28"/>
        </w:rPr>
        <w:t>語文與圖書類及設計類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增加之外，其餘之</w:t>
      </w:r>
      <w:r w:rsidR="00CB749B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視覺藝術類、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工藝類、古典與傳統音樂類、</w:t>
      </w:r>
      <w:r w:rsidR="00CB749B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流行音樂類、</w:t>
      </w:r>
      <w:r w:rsidR="00FB2910">
        <w:rPr>
          <w:rFonts w:ascii="標楷體" w:eastAsia="標楷體" w:hAnsi="標楷體" w:cs="DFKaiShu-SB-Estd-BF" w:hint="eastAsia"/>
          <w:kern w:val="0"/>
          <w:sz w:val="28"/>
          <w:szCs w:val="28"/>
        </w:rPr>
        <w:t>戲劇類、</w:t>
      </w:r>
      <w:r w:rsidR="00CB749B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舞蹈類、</w:t>
      </w:r>
      <w:r w:rsidR="00FB2910">
        <w:rPr>
          <w:rFonts w:ascii="標楷體" w:eastAsia="標楷體" w:hAnsi="標楷體" w:cs="DFKaiShu-SB-Estd-BF" w:hint="eastAsia"/>
          <w:kern w:val="0"/>
          <w:sz w:val="28"/>
          <w:szCs w:val="28"/>
        </w:rPr>
        <w:t>說唱類、</w:t>
      </w:r>
      <w:r w:rsidR="00CB749B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影視/廣播類</w:t>
      </w:r>
      <w:r w:rsidR="00C30D3C">
        <w:rPr>
          <w:rFonts w:ascii="標楷體" w:eastAsia="標楷體" w:hAnsi="標楷體" w:cs="DFKaiShu-SB-Estd-BF" w:hint="eastAsia"/>
          <w:kern w:val="0"/>
          <w:sz w:val="28"/>
          <w:szCs w:val="28"/>
        </w:rPr>
        <w:t>、</w:t>
      </w:r>
      <w:r w:rsidR="00EA50E9">
        <w:rPr>
          <w:rFonts w:ascii="標楷體" w:eastAsia="標楷體" w:hAnsi="標楷體" w:cs="DFKaiShu-SB-Estd-BF" w:hint="eastAsia"/>
          <w:kern w:val="0"/>
          <w:sz w:val="28"/>
          <w:szCs w:val="28"/>
        </w:rPr>
        <w:t>其他類、綜合類等，無顯著增加或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為減少情況，</w:t>
      </w:r>
      <w:r w:rsidR="00EA50E9">
        <w:rPr>
          <w:rFonts w:ascii="標楷體" w:eastAsia="標楷體" w:hAnsi="標楷體" w:cs="DFKaiShu-SB-Estd-BF" w:hint="eastAsia"/>
          <w:kern w:val="0"/>
          <w:sz w:val="28"/>
          <w:szCs w:val="28"/>
        </w:rPr>
        <w:t>其中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以</w:t>
      </w:r>
      <w:r w:rsidR="00EA50E9">
        <w:rPr>
          <w:rFonts w:ascii="標楷體" w:eastAsia="標楷體" w:hAnsi="標楷體" w:cs="DFKaiShu-SB-Estd-BF" w:hint="eastAsia"/>
          <w:kern w:val="0"/>
          <w:sz w:val="28"/>
          <w:szCs w:val="28"/>
        </w:rPr>
        <w:t>語文與圖書類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EA50E9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2741E9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EA50E9">
        <w:rPr>
          <w:rFonts w:ascii="標楷體" w:eastAsia="標楷體" w:hAnsi="標楷體" w:cs="DFKaiShu-SB-Estd-BF" w:hint="eastAsia"/>
          <w:kern w:val="0"/>
          <w:sz w:val="28"/>
          <w:szCs w:val="28"/>
        </w:rPr>
        <w:t>44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個百分點</w:t>
      </w:r>
      <w:r w:rsidR="00EA50E9">
        <w:rPr>
          <w:rFonts w:ascii="標楷體" w:eastAsia="標楷體" w:hAnsi="標楷體" w:cs="DFKaiShu-SB-Estd-BF" w:hint="eastAsia"/>
          <w:kern w:val="0"/>
          <w:sz w:val="28"/>
          <w:szCs w:val="28"/>
        </w:rPr>
        <w:t>最多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EA50E9">
        <w:rPr>
          <w:rFonts w:ascii="標楷體" w:eastAsia="標楷體" w:hAnsi="標楷體" w:cs="DFKaiShu-SB-Estd-BF" w:hint="eastAsia"/>
          <w:kern w:val="0"/>
          <w:sz w:val="28"/>
          <w:szCs w:val="28"/>
        </w:rPr>
        <w:t>由此可知，因疫情之故限制群聚而改變展演活動類別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="0091513E">
        <w:rPr>
          <w:rFonts w:ascii="標楷體" w:eastAsia="標楷體" w:hAnsi="標楷體" w:cs="DFKaiShu-SB-Estd-BF" w:hint="eastAsia"/>
          <w:kern w:val="0"/>
          <w:sz w:val="28"/>
          <w:szCs w:val="28"/>
        </w:rPr>
        <w:t>(詳圖二)</w:t>
      </w:r>
    </w:p>
    <w:p w14:paraId="120FF81D" w14:textId="0A9776B7" w:rsidR="003F484A" w:rsidRDefault="00EA50E9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20DA6B1D" wp14:editId="3869084B">
            <wp:simplePos x="0" y="0"/>
            <wp:positionH relativeFrom="margin">
              <wp:align>right</wp:align>
            </wp:positionH>
            <wp:positionV relativeFrom="paragraph">
              <wp:posOffset>314325</wp:posOffset>
            </wp:positionV>
            <wp:extent cx="5267325" cy="4876800"/>
            <wp:effectExtent l="0" t="0" r="0" b="0"/>
            <wp:wrapTopAndBottom/>
            <wp:docPr id="4" name="圖表 4">
              <a:extLst xmlns:a="http://schemas.openxmlformats.org/drawingml/2006/main">
                <a:ext uri="{FF2B5EF4-FFF2-40B4-BE49-F238E27FC236}">
                  <a16:creationId xmlns:a16="http://schemas.microsoft.com/office/drawing/2014/main" id="{FC08305C-EA81-35AF-6A81-8C4DD0BC18A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</wp:anchor>
        </w:drawing>
      </w:r>
    </w:p>
    <w:p w14:paraId="09AE2BA8" w14:textId="77777777"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14:paraId="79CD8B91" w14:textId="3EDF2839" w:rsidR="00904A53" w:rsidRPr="009C5D21" w:rsidRDefault="0003052C" w:rsidP="00C30D3C">
      <w:pPr>
        <w:autoSpaceDE w:val="0"/>
        <w:autoSpaceDN w:val="0"/>
        <w:adjustRightInd w:val="0"/>
        <w:spacing w:line="440" w:lineRule="exact"/>
        <w:ind w:left="480" w:hangingChars="200" w:hanging="48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61D4CE9B" wp14:editId="2B6C791E">
            <wp:simplePos x="0" y="0"/>
            <wp:positionH relativeFrom="margin">
              <wp:align>right</wp:align>
            </wp:positionH>
            <wp:positionV relativeFrom="paragraph">
              <wp:posOffset>2428875</wp:posOffset>
            </wp:positionV>
            <wp:extent cx="5274310" cy="3638550"/>
            <wp:effectExtent l="0" t="0" r="2540" b="0"/>
            <wp:wrapTopAndBottom/>
            <wp:docPr id="5" name="圖表 5">
              <a:extLst xmlns:a="http://schemas.openxmlformats.org/drawingml/2006/main">
                <a:ext uri="{FF2B5EF4-FFF2-40B4-BE49-F238E27FC236}">
                  <a16:creationId xmlns:a16="http://schemas.microsoft.com/office/drawing/2014/main" id="{84746CC0-D8C7-45C9-A6A9-F886A29ED9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V relativeFrom="margin">
              <wp14:pctHeight>0</wp14:pctHeight>
            </wp14:sizeRelV>
          </wp:anchor>
        </w:drawing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三、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0778DE">
        <w:rPr>
          <w:rFonts w:ascii="標楷體" w:eastAsia="標楷體" w:hAnsi="標楷體" w:cs="DFKaiShu-SB-Estd-BF" w:hint="eastAsia"/>
          <w:kern w:val="0"/>
          <w:sz w:val="28"/>
          <w:szCs w:val="28"/>
        </w:rPr>
        <w:t>10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年本縣辦理藝文展演活動個數</w:t>
      </w:r>
      <w:r w:rsidR="000778DE">
        <w:rPr>
          <w:rFonts w:ascii="標楷體" w:eastAsia="標楷體" w:hAnsi="標楷體" w:cs="DFKaiShu-SB-Estd-BF" w:hint="eastAsia"/>
          <w:kern w:val="0"/>
          <w:sz w:val="28"/>
          <w:szCs w:val="28"/>
        </w:rPr>
        <w:t>210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個，</w:t>
      </w:r>
      <w:r w:rsidR="007C69B9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平均出席人次</w:t>
      </w:r>
      <w:r w:rsidR="000778DE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7C69B9">
        <w:rPr>
          <w:rFonts w:ascii="標楷體" w:eastAsia="標楷體" w:hAnsi="標楷體" w:cs="DFKaiShu-SB-Estd-BF" w:hint="eastAsia"/>
          <w:kern w:val="0"/>
          <w:sz w:val="28"/>
          <w:szCs w:val="28"/>
        </w:rPr>
        <w:t>.3</w:t>
      </w:r>
      <w:r w:rsidR="000778DE">
        <w:rPr>
          <w:rFonts w:ascii="標楷體" w:eastAsia="標楷體" w:hAnsi="標楷體" w:cs="DFKaiShu-SB-Estd-BF" w:hint="eastAsia"/>
          <w:kern w:val="0"/>
          <w:sz w:val="28"/>
          <w:szCs w:val="28"/>
        </w:rPr>
        <w:t>3</w:t>
      </w:r>
      <w:r w:rsidR="007C69B9">
        <w:rPr>
          <w:rFonts w:ascii="標楷體" w:eastAsia="標楷體" w:hAnsi="標楷體" w:cs="DFKaiShu-SB-Estd-BF" w:hint="eastAsia"/>
          <w:kern w:val="0"/>
          <w:sz w:val="28"/>
          <w:szCs w:val="28"/>
        </w:rPr>
        <w:t>千</w:t>
      </w:r>
      <w:r w:rsidR="007C69B9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人次</w:t>
      </w:r>
      <w:r w:rsidR="007C69B9">
        <w:rPr>
          <w:rFonts w:ascii="標楷體" w:eastAsia="標楷體" w:hAnsi="標楷體" w:cs="DFKaiShu-SB-Estd-BF" w:hint="eastAsia"/>
          <w:kern w:val="0"/>
          <w:sz w:val="28"/>
          <w:szCs w:val="28"/>
        </w:rPr>
        <w:t>，於全國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</w:t>
      </w:r>
      <w:r w:rsidR="00AB45D8">
        <w:rPr>
          <w:rFonts w:ascii="標楷體" w:eastAsia="標楷體" w:hAnsi="標楷體" w:cs="DFKaiShu-SB-Estd-BF" w:hint="eastAsia"/>
          <w:kern w:val="0"/>
          <w:sz w:val="28"/>
          <w:szCs w:val="28"/>
        </w:rPr>
        <w:t>排名第</w:t>
      </w:r>
      <w:r w:rsidR="000778DE">
        <w:rPr>
          <w:rFonts w:ascii="標楷體" w:eastAsia="標楷體" w:hAnsi="標楷體" w:cs="DFKaiShu-SB-Estd-BF" w:hint="eastAsia"/>
          <w:kern w:val="0"/>
          <w:sz w:val="28"/>
          <w:szCs w:val="28"/>
        </w:rPr>
        <w:t>20</w:t>
      </w:r>
      <w:r w:rsidR="00AB45D8">
        <w:rPr>
          <w:rFonts w:ascii="標楷體" w:eastAsia="標楷體" w:hAnsi="標楷體" w:cs="DFKaiShu-SB-Estd-BF" w:hint="eastAsia"/>
          <w:kern w:val="0"/>
          <w:sz w:val="28"/>
          <w:szCs w:val="28"/>
        </w:rPr>
        <w:t>位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="00C30D3C">
        <w:rPr>
          <w:rFonts w:ascii="標楷體" w:eastAsia="標楷體" w:hAnsi="標楷體" w:cs="DFKaiShu-SB-Estd-BF"/>
          <w:kern w:val="0"/>
          <w:sz w:val="28"/>
          <w:szCs w:val="28"/>
        </w:rPr>
        <w:br/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從臺灣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個縣市中觀察，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0778DE">
        <w:rPr>
          <w:rFonts w:ascii="標楷體" w:eastAsia="標楷體" w:hAnsi="標楷體" w:cs="DFKaiShu-SB-Estd-BF" w:hint="eastAsia"/>
          <w:kern w:val="0"/>
          <w:sz w:val="28"/>
          <w:szCs w:val="28"/>
        </w:rPr>
        <w:t>10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年藝文展演活動個數以</w:t>
      </w:r>
      <w:r w:rsidR="00E46F17">
        <w:rPr>
          <w:rFonts w:ascii="標楷體" w:eastAsia="標楷體" w:hAnsi="標楷體" w:cs="DFKaiShu-SB-Estd-BF" w:hint="eastAsia"/>
          <w:kern w:val="0"/>
          <w:sz w:val="28"/>
          <w:szCs w:val="28"/>
        </w:rPr>
        <w:t>新北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E46F17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="00F155AA">
        <w:rPr>
          <w:rFonts w:ascii="標楷體" w:eastAsia="標楷體" w:hAnsi="標楷體" w:cs="DFKaiShu-SB-Estd-BF" w:hint="eastAsia"/>
          <w:kern w:val="0"/>
          <w:sz w:val="28"/>
          <w:szCs w:val="28"/>
        </w:rPr>
        <w:t>,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E46F17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0244DC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個最多，本縣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21</w:t>
      </w:r>
      <w:r w:rsidR="00E46F17">
        <w:rPr>
          <w:rFonts w:ascii="標楷體" w:eastAsia="標楷體" w:hAnsi="標楷體" w:cs="DFKaiShu-SB-Estd-BF" w:hint="eastAsia"/>
          <w:kern w:val="0"/>
          <w:sz w:val="28"/>
          <w:szCs w:val="28"/>
        </w:rPr>
        <w:t>0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個居第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E46F17">
        <w:rPr>
          <w:rFonts w:ascii="標楷體" w:eastAsia="標楷體" w:hAnsi="標楷體" w:cs="DFKaiShu-SB-Estd-BF" w:hint="eastAsia"/>
          <w:kern w:val="0"/>
          <w:sz w:val="28"/>
          <w:szCs w:val="28"/>
        </w:rPr>
        <w:t>0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位，</w:t>
      </w:r>
      <w:r w:rsidR="003D70BB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另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相較於離島三縣</w:t>
      </w:r>
      <w:r w:rsidR="00A27347">
        <w:rPr>
          <w:rFonts w:ascii="標楷體" w:eastAsia="標楷體" w:hAnsi="標楷體" w:cs="DFKaiShu-SB-Estd-BF" w:hint="eastAsia"/>
          <w:kern w:val="0"/>
          <w:sz w:val="28"/>
          <w:szCs w:val="28"/>
        </w:rPr>
        <w:t>占比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金門縣</w:t>
      </w:r>
      <w:r w:rsidR="00E46F17">
        <w:rPr>
          <w:rFonts w:ascii="標楷體" w:eastAsia="標楷體" w:hAnsi="標楷體" w:cs="DFKaiShu-SB-Estd-BF" w:hint="eastAsia"/>
          <w:kern w:val="0"/>
          <w:sz w:val="28"/>
          <w:szCs w:val="28"/>
        </w:rPr>
        <w:t>180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E46F17">
        <w:rPr>
          <w:rFonts w:ascii="標楷體" w:eastAsia="標楷體" w:hAnsi="標楷體" w:cs="DFKaiShu-SB-Estd-BF" w:hint="eastAsia"/>
          <w:kern w:val="0"/>
          <w:sz w:val="28"/>
          <w:szCs w:val="28"/>
        </w:rPr>
        <w:t>0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本縣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21</w:t>
      </w:r>
      <w:r w:rsidR="00E46F17">
        <w:rPr>
          <w:rFonts w:ascii="標楷體" w:eastAsia="標楷體" w:hAnsi="標楷體" w:cs="DFKaiShu-SB-Estd-BF" w:hint="eastAsia"/>
          <w:kern w:val="0"/>
          <w:sz w:val="28"/>
          <w:szCs w:val="28"/>
        </w:rPr>
        <w:t>0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E46F17">
        <w:rPr>
          <w:rFonts w:ascii="標楷體" w:eastAsia="標楷體" w:hAnsi="標楷體" w:cs="DFKaiShu-SB-Estd-BF" w:hint="eastAsia"/>
          <w:kern w:val="0"/>
          <w:sz w:val="28"/>
          <w:szCs w:val="28"/>
        </w:rPr>
        <w:t>最優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。以平均出席活動人次觀察，以</w:t>
      </w:r>
      <w:r w:rsidR="00E46F17">
        <w:rPr>
          <w:rFonts w:ascii="標楷體" w:eastAsia="標楷體" w:hAnsi="標楷體" w:cs="DFKaiShu-SB-Estd-BF" w:hint="eastAsia"/>
          <w:kern w:val="0"/>
          <w:sz w:val="28"/>
          <w:szCs w:val="28"/>
        </w:rPr>
        <w:t>新竹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平均每場</w:t>
      </w:r>
      <w:r w:rsidR="00E46F17">
        <w:rPr>
          <w:rFonts w:ascii="標楷體" w:eastAsia="標楷體" w:hAnsi="標楷體" w:cs="DFKaiShu-SB-Estd-BF" w:hint="eastAsia"/>
          <w:kern w:val="0"/>
          <w:sz w:val="28"/>
          <w:szCs w:val="28"/>
        </w:rPr>
        <w:t>12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E46F17">
        <w:rPr>
          <w:rFonts w:ascii="標楷體" w:eastAsia="標楷體" w:hAnsi="標楷體" w:cs="DFKaiShu-SB-Estd-BF" w:hint="eastAsia"/>
          <w:kern w:val="0"/>
          <w:sz w:val="28"/>
          <w:szCs w:val="28"/>
        </w:rPr>
        <w:t>392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千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人次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最優，次為嘉義市6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096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千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人次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台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北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4.6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47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千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人次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排第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位，本縣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全年累計出席280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千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人次則為臺灣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</w:t>
      </w:r>
      <w:r w:rsidR="0032285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居第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21</w:t>
      </w:r>
      <w:r w:rsidR="00C77B89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位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詳圖</w:t>
      </w:r>
      <w:r w:rsidR="00061468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三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)</w:t>
      </w:r>
    </w:p>
    <w:p w14:paraId="5D703B13" w14:textId="0439F7AC" w:rsidR="009E5CA5" w:rsidRPr="00E46F17" w:rsidRDefault="009E5CA5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B050"/>
          <w:kern w:val="0"/>
          <w:sz w:val="28"/>
          <w:szCs w:val="28"/>
        </w:rPr>
      </w:pPr>
    </w:p>
    <w:p w14:paraId="35973C6B" w14:textId="264464A4" w:rsidR="0049401F" w:rsidRDefault="0049401F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B050"/>
          <w:kern w:val="0"/>
          <w:sz w:val="28"/>
          <w:szCs w:val="28"/>
        </w:rPr>
      </w:pPr>
    </w:p>
    <w:p w14:paraId="05F599A9" w14:textId="7B1B5BB7" w:rsidR="0049401F" w:rsidRPr="00597846" w:rsidRDefault="0049401F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sectPr w:rsidR="0049401F" w:rsidRPr="0059784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EEBC8" w14:textId="77777777" w:rsidR="009B0A98" w:rsidRDefault="009B0A98" w:rsidP="00C2305A">
      <w:r>
        <w:separator/>
      </w:r>
    </w:p>
  </w:endnote>
  <w:endnote w:type="continuationSeparator" w:id="0">
    <w:p w14:paraId="7926ABEC" w14:textId="77777777" w:rsidR="009B0A98" w:rsidRDefault="009B0A98" w:rsidP="00C23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JhengHei U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70CD9" w14:textId="77777777" w:rsidR="009B0A98" w:rsidRDefault="009B0A98" w:rsidP="00C2305A">
      <w:r>
        <w:separator/>
      </w:r>
    </w:p>
  </w:footnote>
  <w:footnote w:type="continuationSeparator" w:id="0">
    <w:p w14:paraId="5F9FCAB0" w14:textId="77777777" w:rsidR="009B0A98" w:rsidRDefault="009B0A98" w:rsidP="00C230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2C4"/>
    <w:rsid w:val="000244DC"/>
    <w:rsid w:val="0003052C"/>
    <w:rsid w:val="00053B0C"/>
    <w:rsid w:val="00061468"/>
    <w:rsid w:val="000778DE"/>
    <w:rsid w:val="000A21C7"/>
    <w:rsid w:val="00115B2D"/>
    <w:rsid w:val="00121976"/>
    <w:rsid w:val="001501C6"/>
    <w:rsid w:val="001734AA"/>
    <w:rsid w:val="00182C8C"/>
    <w:rsid w:val="002070B8"/>
    <w:rsid w:val="00255824"/>
    <w:rsid w:val="002741E9"/>
    <w:rsid w:val="002A7991"/>
    <w:rsid w:val="002B35F3"/>
    <w:rsid w:val="002F6E6E"/>
    <w:rsid w:val="00302F9C"/>
    <w:rsid w:val="0032113E"/>
    <w:rsid w:val="00322852"/>
    <w:rsid w:val="00352807"/>
    <w:rsid w:val="00354139"/>
    <w:rsid w:val="003758BC"/>
    <w:rsid w:val="003A1DDA"/>
    <w:rsid w:val="003B1168"/>
    <w:rsid w:val="003D70BB"/>
    <w:rsid w:val="003F484A"/>
    <w:rsid w:val="0040652E"/>
    <w:rsid w:val="0041721B"/>
    <w:rsid w:val="00425888"/>
    <w:rsid w:val="00456D54"/>
    <w:rsid w:val="00475F35"/>
    <w:rsid w:val="0049401F"/>
    <w:rsid w:val="004F3B88"/>
    <w:rsid w:val="00515953"/>
    <w:rsid w:val="00564DBC"/>
    <w:rsid w:val="00597846"/>
    <w:rsid w:val="005B08E1"/>
    <w:rsid w:val="005D573C"/>
    <w:rsid w:val="005F6C95"/>
    <w:rsid w:val="00602BD3"/>
    <w:rsid w:val="00605907"/>
    <w:rsid w:val="00646069"/>
    <w:rsid w:val="00697944"/>
    <w:rsid w:val="006F02C1"/>
    <w:rsid w:val="0071346D"/>
    <w:rsid w:val="00740531"/>
    <w:rsid w:val="00744F6B"/>
    <w:rsid w:val="007A2C5F"/>
    <w:rsid w:val="007C69B9"/>
    <w:rsid w:val="007D0999"/>
    <w:rsid w:val="007E6FCD"/>
    <w:rsid w:val="007E7217"/>
    <w:rsid w:val="0081773F"/>
    <w:rsid w:val="00827419"/>
    <w:rsid w:val="008722C2"/>
    <w:rsid w:val="00881A23"/>
    <w:rsid w:val="00892E17"/>
    <w:rsid w:val="008D77A6"/>
    <w:rsid w:val="00904A53"/>
    <w:rsid w:val="0091513E"/>
    <w:rsid w:val="0094170C"/>
    <w:rsid w:val="00960EC1"/>
    <w:rsid w:val="00963513"/>
    <w:rsid w:val="00973A4B"/>
    <w:rsid w:val="009B0A98"/>
    <w:rsid w:val="009C2BB7"/>
    <w:rsid w:val="009C5686"/>
    <w:rsid w:val="009C5D21"/>
    <w:rsid w:val="009C7469"/>
    <w:rsid w:val="009E5C67"/>
    <w:rsid w:val="009E5CA5"/>
    <w:rsid w:val="00A2455D"/>
    <w:rsid w:val="00A27347"/>
    <w:rsid w:val="00A46385"/>
    <w:rsid w:val="00A7013D"/>
    <w:rsid w:val="00A877C6"/>
    <w:rsid w:val="00AB45D8"/>
    <w:rsid w:val="00AB7408"/>
    <w:rsid w:val="00AC3A51"/>
    <w:rsid w:val="00AF357D"/>
    <w:rsid w:val="00B12E6D"/>
    <w:rsid w:val="00B46871"/>
    <w:rsid w:val="00B529D6"/>
    <w:rsid w:val="00B726AA"/>
    <w:rsid w:val="00B94028"/>
    <w:rsid w:val="00BA3A6E"/>
    <w:rsid w:val="00BB4E73"/>
    <w:rsid w:val="00BC301B"/>
    <w:rsid w:val="00BF4575"/>
    <w:rsid w:val="00C0562F"/>
    <w:rsid w:val="00C068A2"/>
    <w:rsid w:val="00C2305A"/>
    <w:rsid w:val="00C30D3C"/>
    <w:rsid w:val="00C3711E"/>
    <w:rsid w:val="00C41371"/>
    <w:rsid w:val="00C666A2"/>
    <w:rsid w:val="00C77B89"/>
    <w:rsid w:val="00CB749B"/>
    <w:rsid w:val="00D12BFB"/>
    <w:rsid w:val="00D4511B"/>
    <w:rsid w:val="00D926B5"/>
    <w:rsid w:val="00E46F17"/>
    <w:rsid w:val="00E472C4"/>
    <w:rsid w:val="00E5391A"/>
    <w:rsid w:val="00E574A4"/>
    <w:rsid w:val="00E81EE2"/>
    <w:rsid w:val="00E84F38"/>
    <w:rsid w:val="00EA50E9"/>
    <w:rsid w:val="00EC35C7"/>
    <w:rsid w:val="00EC49F4"/>
    <w:rsid w:val="00EF4807"/>
    <w:rsid w:val="00F03BEE"/>
    <w:rsid w:val="00F155AA"/>
    <w:rsid w:val="00F327CB"/>
    <w:rsid w:val="00F4099D"/>
    <w:rsid w:val="00F6732D"/>
    <w:rsid w:val="00F85912"/>
    <w:rsid w:val="00FB2910"/>
    <w:rsid w:val="00FB4B3A"/>
    <w:rsid w:val="00FC589F"/>
    <w:rsid w:val="00FE3A1F"/>
    <w:rsid w:val="00FF41F3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F1A96"/>
  <w15:chartTrackingRefBased/>
  <w15:docId w15:val="{4F2774D7-C4C9-4AC3-9F23-014B31CE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13D"/>
    <w:rPr>
      <w:strike w:val="0"/>
      <w:dstrike w:val="0"/>
      <w:color w:val="3661AC"/>
      <w:sz w:val="24"/>
      <w:szCs w:val="24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D926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926B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646069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C2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2305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2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2305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04.&#32113;&#35336;\111&#24180;&#24230;\&#25033;&#29992;&#32113;&#35336;\&#25991;&#21270;&#23616;&#34269;&#25991;&#23637;&#28436;&#27963;&#21205;&#27010;&#27841;&#32113;&#35336;&#36890;&#22577;(&#36039;&#26009;&#31295;110)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04.&#32113;&#35336;\111&#24180;&#24230;\&#25033;&#29992;&#32113;&#35336;\&#25991;&#21270;&#23616;&#34269;&#25991;&#23637;&#28436;&#27963;&#21205;&#27010;&#27841;&#32113;&#35336;&#36890;&#22577;(&#36039;&#26009;&#31295;110)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04.&#32113;&#35336;\111&#24180;&#24230;\&#25033;&#29992;&#32113;&#35336;\&#25991;&#21270;&#23616;&#34269;&#25991;&#23637;&#28436;&#27963;&#21205;&#27010;&#27841;&#32113;&#35336;&#36890;&#22577;(&#36039;&#26009;&#31295;110)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/>
              <a:t>圖一、澎湖縣藝文動展演個數及出席人次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878955632729315"/>
          <c:y val="0.17818181818181819"/>
          <c:w val="0.79962383523020308"/>
          <c:h val="0.644690675960586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'圖表1 '!$B$3</c:f>
              <c:strCache>
                <c:ptCount val="1"/>
                <c:pt idx="0">
                  <c:v>活動個數(個)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'圖表1 '!$A$4:$A$8</c:f>
              <c:strCache>
                <c:ptCount val="5"/>
                <c:pt idx="0">
                  <c:v>110年</c:v>
                </c:pt>
                <c:pt idx="1">
                  <c:v>109年</c:v>
                </c:pt>
                <c:pt idx="2">
                  <c:v>108年</c:v>
                </c:pt>
                <c:pt idx="3">
                  <c:v>107年</c:v>
                </c:pt>
                <c:pt idx="4">
                  <c:v>106年</c:v>
                </c:pt>
              </c:strCache>
            </c:strRef>
          </c:cat>
          <c:val>
            <c:numRef>
              <c:f>'圖表1 '!$B$4:$B$8</c:f>
              <c:numCache>
                <c:formatCode>#,##0_ </c:formatCode>
                <c:ptCount val="5"/>
                <c:pt idx="0">
                  <c:v>210</c:v>
                </c:pt>
                <c:pt idx="1">
                  <c:v>291</c:v>
                </c:pt>
                <c:pt idx="2">
                  <c:v>387</c:v>
                </c:pt>
                <c:pt idx="3">
                  <c:v>346</c:v>
                </c:pt>
                <c:pt idx="4">
                  <c:v>322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8B-4B93-BC3A-0D1B0DBE2D74}"/>
            </c:ext>
          </c:extLst>
        </c:ser>
        <c:ser>
          <c:idx val="1"/>
          <c:order val="1"/>
          <c:tx>
            <c:strRef>
              <c:f>'圖表1 '!$C$3</c:f>
              <c:strCache>
                <c:ptCount val="1"/>
                <c:pt idx="0">
                  <c:v>出席人次(千人)</c:v>
                </c:pt>
              </c:strCache>
            </c:strRef>
          </c:tx>
          <c:spPr>
            <a:solidFill>
              <a:srgbClr val="ED7D31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'圖表1 '!$A$4:$A$8</c:f>
              <c:strCache>
                <c:ptCount val="5"/>
                <c:pt idx="0">
                  <c:v>110年</c:v>
                </c:pt>
                <c:pt idx="1">
                  <c:v>109年</c:v>
                </c:pt>
                <c:pt idx="2">
                  <c:v>108年</c:v>
                </c:pt>
                <c:pt idx="3">
                  <c:v>107年</c:v>
                </c:pt>
                <c:pt idx="4">
                  <c:v>106年</c:v>
                </c:pt>
              </c:strCache>
            </c:strRef>
          </c:cat>
          <c:val>
            <c:numRef>
              <c:f>'圖表1 '!$C$4:$C$8</c:f>
              <c:numCache>
                <c:formatCode>#,##0_ </c:formatCode>
                <c:ptCount val="5"/>
                <c:pt idx="0">
                  <c:v>280</c:v>
                </c:pt>
                <c:pt idx="1">
                  <c:v>674</c:v>
                </c:pt>
                <c:pt idx="2">
                  <c:v>649</c:v>
                </c:pt>
                <c:pt idx="3">
                  <c:v>547</c:v>
                </c:pt>
                <c:pt idx="4">
                  <c:v>381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B8B-4B93-BC3A-0D1B0DBE2D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13253744"/>
        <c:axId val="1"/>
      </c:barChart>
      <c:lineChart>
        <c:grouping val="standard"/>
        <c:varyColors val="0"/>
        <c:ser>
          <c:idx val="2"/>
          <c:order val="2"/>
          <c:tx>
            <c:strRef>
              <c:f>'圖表1 '!$D$3</c:f>
              <c:strCache>
                <c:ptCount val="1"/>
                <c:pt idx="0">
                  <c:v>平均出席人次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'圖表1 '!$A$4:$A$8</c:f>
              <c:strCache>
                <c:ptCount val="5"/>
                <c:pt idx="0">
                  <c:v>110年</c:v>
                </c:pt>
                <c:pt idx="1">
                  <c:v>109年</c:v>
                </c:pt>
                <c:pt idx="2">
                  <c:v>108年</c:v>
                </c:pt>
                <c:pt idx="3">
                  <c:v>107年</c:v>
                </c:pt>
                <c:pt idx="4">
                  <c:v>106年</c:v>
                </c:pt>
              </c:strCache>
            </c:strRef>
          </c:cat>
          <c:val>
            <c:numRef>
              <c:f>'圖表1 '!$D$4:$D$8</c:f>
              <c:numCache>
                <c:formatCode>#,##0_ </c:formatCode>
                <c:ptCount val="5"/>
                <c:pt idx="0">
                  <c:v>1333.3333333333333</c:v>
                </c:pt>
                <c:pt idx="1">
                  <c:v>2316.1512027491412</c:v>
                </c:pt>
                <c:pt idx="2">
                  <c:v>1677.0025839793282</c:v>
                </c:pt>
                <c:pt idx="3">
                  <c:v>1580.9248554913295</c:v>
                </c:pt>
                <c:pt idx="4">
                  <c:v>1183.2298136645961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B8B-4B93-BC3A-0D1B0DBE2D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3253744"/>
        <c:axId val="1"/>
      </c:lineChart>
      <c:catAx>
        <c:axId val="513253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#,##0_ 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51325374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9.606986899563319E-2"/>
          <c:y val="0.89860293276560577"/>
          <c:w val="0.82314410480349343"/>
          <c:h val="7.6923208252308667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 sz="1200" b="1"/>
              <a:t>圖二、</a:t>
            </a:r>
            <a:r>
              <a:rPr lang="en-US" altLang="zh-TW" sz="1200" b="1"/>
              <a:t>110</a:t>
            </a:r>
            <a:r>
              <a:rPr lang="zh-TW" altLang="en-US" sz="1200" b="1"/>
              <a:t>年及</a:t>
            </a:r>
            <a:r>
              <a:rPr lang="en-US" altLang="zh-TW" sz="1200" b="1"/>
              <a:t>109</a:t>
            </a:r>
            <a:r>
              <a:rPr lang="zh-TW" altLang="en-US" sz="1200" b="1"/>
              <a:t>年藝文展演活動類別占比</a:t>
            </a:r>
          </a:p>
        </c:rich>
      </c:tx>
      <c:layout>
        <c:manualLayout>
          <c:xMode val="edge"/>
          <c:yMode val="edge"/>
          <c:x val="0.25119451478256849"/>
          <c:y val="1.7789124015748031E-2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barChart>
        <c:barDir val="bar"/>
        <c:grouping val="clustered"/>
        <c:varyColors val="0"/>
        <c:ser>
          <c:idx val="3"/>
          <c:order val="0"/>
          <c:tx>
            <c:strRef>
              <c:f>圖表2!$A$10</c:f>
              <c:strCache>
                <c:ptCount val="1"/>
                <c:pt idx="0">
                  <c:v>110年度</c:v>
                </c:pt>
              </c:strCache>
            </c:strRef>
          </c:tx>
          <c:spPr>
            <a:solidFill>
              <a:srgbClr val="FFC000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圖表2!$B$6:$N$6</c:f>
              <c:strCache>
                <c:ptCount val="13"/>
                <c:pt idx="0">
                  <c:v> 視覺藝術 </c:v>
                </c:pt>
                <c:pt idx="1">
                  <c:v> 工藝 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圖表2!$B$10:$N$10</c:f>
              <c:numCache>
                <c:formatCode>0.00%</c:formatCode>
                <c:ptCount val="13"/>
                <c:pt idx="0">
                  <c:v>0.2</c:v>
                </c:pt>
                <c:pt idx="1">
                  <c:v>3.3333333333333333E-2</c:v>
                </c:pt>
                <c:pt idx="2">
                  <c:v>3.8095238095238099E-2</c:v>
                </c:pt>
                <c:pt idx="3">
                  <c:v>5.7142857142857141E-2</c:v>
                </c:pt>
                <c:pt idx="4">
                  <c:v>3.3333333333333333E-2</c:v>
                </c:pt>
                <c:pt idx="5">
                  <c:v>7.6190476190476197E-2</c:v>
                </c:pt>
                <c:pt idx="6">
                  <c:v>9.5238095238095247E-3</c:v>
                </c:pt>
                <c:pt idx="7">
                  <c:v>9.5238095238095247E-3</c:v>
                </c:pt>
                <c:pt idx="8">
                  <c:v>4.2857142857142858E-2</c:v>
                </c:pt>
                <c:pt idx="9">
                  <c:v>0.2</c:v>
                </c:pt>
                <c:pt idx="10">
                  <c:v>0.16190476190476191</c:v>
                </c:pt>
                <c:pt idx="11">
                  <c:v>0</c:v>
                </c:pt>
                <c:pt idx="12">
                  <c:v>0.1380952380952381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8D7-4A70-897F-29A3D7B213C1}"/>
            </c:ext>
          </c:extLst>
        </c:ser>
        <c:ser>
          <c:idx val="4"/>
          <c:order val="1"/>
          <c:tx>
            <c:strRef>
              <c:f>圖表2!$A$12</c:f>
              <c:strCache>
                <c:ptCount val="1"/>
                <c:pt idx="0">
                  <c:v>109年度</c:v>
                </c:pt>
              </c:strCache>
            </c:strRef>
          </c:tx>
          <c:spPr>
            <a:solidFill>
              <a:srgbClr val="4472C4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圖表2!$B$6:$N$6</c:f>
              <c:strCache>
                <c:ptCount val="13"/>
                <c:pt idx="0">
                  <c:v> 視覺藝術 </c:v>
                </c:pt>
                <c:pt idx="1">
                  <c:v> 工藝 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圖表2!$B$12:$N$12</c:f>
              <c:numCache>
                <c:formatCode>0.00%</c:formatCode>
                <c:ptCount val="13"/>
                <c:pt idx="0">
                  <c:v>0.19587628865979381</c:v>
                </c:pt>
                <c:pt idx="1">
                  <c:v>2.0618556701030927E-2</c:v>
                </c:pt>
                <c:pt idx="2">
                  <c:v>3.4364261168384879E-3</c:v>
                </c:pt>
                <c:pt idx="3">
                  <c:v>6.5292096219931275E-2</c:v>
                </c:pt>
                <c:pt idx="4">
                  <c:v>3.4364261168384883E-2</c:v>
                </c:pt>
                <c:pt idx="5">
                  <c:v>6.8728522336769765E-2</c:v>
                </c:pt>
                <c:pt idx="6">
                  <c:v>1.0309278350515464E-2</c:v>
                </c:pt>
                <c:pt idx="7">
                  <c:v>0</c:v>
                </c:pt>
                <c:pt idx="8">
                  <c:v>3.4364261168384883E-2</c:v>
                </c:pt>
                <c:pt idx="9">
                  <c:v>0.28865979381443296</c:v>
                </c:pt>
                <c:pt idx="10">
                  <c:v>0.13745704467353953</c:v>
                </c:pt>
                <c:pt idx="11">
                  <c:v>0</c:v>
                </c:pt>
                <c:pt idx="12">
                  <c:v>0.14089347079037801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8D7-4A70-897F-29A3D7B213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94668336"/>
        <c:axId val="1"/>
      </c:barChart>
      <c:catAx>
        <c:axId val="394668336"/>
        <c:scaling>
          <c:orientation val="minMax"/>
        </c:scaling>
        <c:delete val="0"/>
        <c:axPos val="l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sz="800" b="1"/>
                  <a:t>活動類別</a:t>
                </a:r>
              </a:p>
            </c:rich>
          </c:tx>
          <c:layout>
            <c:manualLayout>
              <c:xMode val="edge"/>
              <c:yMode val="edge"/>
              <c:x val="0.2055555170141177"/>
              <c:y val="6.4843339895013119E-2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 sz="800" b="1"/>
                  <a:t>百分比</a:t>
                </a:r>
              </a:p>
            </c:rich>
          </c:tx>
          <c:layout>
            <c:manualLayout>
              <c:xMode val="edge"/>
              <c:yMode val="edge"/>
              <c:x val="0.86885635991536292"/>
              <c:y val="0.87068590059055129"/>
            </c:manualLayout>
          </c:layout>
          <c:overlay val="0"/>
          <c:spPr>
            <a:noFill/>
            <a:ln w="25400">
              <a:noFill/>
            </a:ln>
          </c:spPr>
        </c:title>
        <c:numFmt formatCode="0.00%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39466833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2305479436215845"/>
          <c:y val="0.943359375"/>
          <c:w val="0.29295177309884723"/>
          <c:h val="4.296875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/>
              <a:t>圖三、各縣市藝文活動展演個數及平均出席人次</a:t>
            </a:r>
          </a:p>
        </c:rich>
      </c:tx>
      <c:layout>
        <c:manualLayout>
          <c:xMode val="edge"/>
          <c:yMode val="edge"/>
          <c:x val="0.23433850314165275"/>
          <c:y val="2.9574867956320274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0205208964264076E-2"/>
          <c:y val="0.11911275415896488"/>
          <c:w val="0.87132245392402874"/>
          <c:h val="0.599340678533482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'圖表3 (2)'!$B$5</c:f>
              <c:strCache>
                <c:ptCount val="1"/>
                <c:pt idx="0">
                  <c:v>活動個數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invertIfNegative val="0"/>
          <c:cat>
            <c:strRef>
              <c:f>'圖表3 (2)'!$A$6:$A$27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'圖表3 (2)'!$B$6:$B$27</c:f>
              <c:numCache>
                <c:formatCode>#,##0_ </c:formatCode>
                <c:ptCount val="22"/>
                <c:pt idx="0">
                  <c:v>4919</c:v>
                </c:pt>
                <c:pt idx="1">
                  <c:v>4905</c:v>
                </c:pt>
                <c:pt idx="2">
                  <c:v>4181</c:v>
                </c:pt>
                <c:pt idx="3">
                  <c:v>4772</c:v>
                </c:pt>
                <c:pt idx="4">
                  <c:v>4869</c:v>
                </c:pt>
                <c:pt idx="5">
                  <c:v>4876</c:v>
                </c:pt>
                <c:pt idx="6">
                  <c:v>1178</c:v>
                </c:pt>
                <c:pt idx="7">
                  <c:v>932</c:v>
                </c:pt>
                <c:pt idx="8">
                  <c:v>1162</c:v>
                </c:pt>
                <c:pt idx="9">
                  <c:v>2107</c:v>
                </c:pt>
                <c:pt idx="10">
                  <c:v>1246</c:v>
                </c:pt>
                <c:pt idx="11">
                  <c:v>1798</c:v>
                </c:pt>
                <c:pt idx="12">
                  <c:v>661</c:v>
                </c:pt>
                <c:pt idx="13">
                  <c:v>1392</c:v>
                </c:pt>
                <c:pt idx="14">
                  <c:v>832</c:v>
                </c:pt>
                <c:pt idx="15">
                  <c:v>471</c:v>
                </c:pt>
                <c:pt idx="16">
                  <c:v>210</c:v>
                </c:pt>
                <c:pt idx="17">
                  <c:v>481</c:v>
                </c:pt>
                <c:pt idx="18">
                  <c:v>850</c:v>
                </c:pt>
                <c:pt idx="19">
                  <c:v>418</c:v>
                </c:pt>
                <c:pt idx="20">
                  <c:v>180</c:v>
                </c:pt>
                <c:pt idx="21">
                  <c:v>102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FB-4C90-BE8D-3F07424AF0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17940984"/>
        <c:axId val="1"/>
      </c:barChart>
      <c:lineChart>
        <c:grouping val="standard"/>
        <c:varyColors val="0"/>
        <c:ser>
          <c:idx val="1"/>
          <c:order val="1"/>
          <c:tx>
            <c:strRef>
              <c:f>'圖表3 (2)'!$C$5</c:f>
              <c:strCache>
                <c:ptCount val="1"/>
                <c:pt idx="0">
                  <c:v>平均出席人次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'圖表3 (2)'!$A$6:$A$27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'圖表3 (2)'!$C$6:$C$27</c:f>
              <c:numCache>
                <c:formatCode>#,##0.00_ </c:formatCode>
                <c:ptCount val="22"/>
                <c:pt idx="0">
                  <c:v>3850.9859727586904</c:v>
                </c:pt>
                <c:pt idx="1">
                  <c:v>4647.2986748216099</c:v>
                </c:pt>
                <c:pt idx="2">
                  <c:v>1242.0473570916049</c:v>
                </c:pt>
                <c:pt idx="3">
                  <c:v>3863.7887678122383</c:v>
                </c:pt>
                <c:pt idx="4">
                  <c:v>4058.1228178270694</c:v>
                </c:pt>
                <c:pt idx="5">
                  <c:v>4435.8080393765385</c:v>
                </c:pt>
                <c:pt idx="6">
                  <c:v>3494.0577249575549</c:v>
                </c:pt>
                <c:pt idx="7">
                  <c:v>3651.2875536480688</c:v>
                </c:pt>
                <c:pt idx="8">
                  <c:v>2641.1359724612735</c:v>
                </c:pt>
                <c:pt idx="9">
                  <c:v>1936.8770764119602</c:v>
                </c:pt>
                <c:pt idx="10">
                  <c:v>2589.0850722311397</c:v>
                </c:pt>
                <c:pt idx="11">
                  <c:v>1714.12680756396</c:v>
                </c:pt>
                <c:pt idx="12">
                  <c:v>2819.9697428139184</c:v>
                </c:pt>
                <c:pt idx="13">
                  <c:v>4213.3620689655172</c:v>
                </c:pt>
                <c:pt idx="14">
                  <c:v>2736.7788461538462</c:v>
                </c:pt>
                <c:pt idx="15">
                  <c:v>2082.802547770701</c:v>
                </c:pt>
                <c:pt idx="16">
                  <c:v>1333.3333333333333</c:v>
                </c:pt>
                <c:pt idx="17">
                  <c:v>2297.2972972972975</c:v>
                </c:pt>
                <c:pt idx="18">
                  <c:v>12391.764705882353</c:v>
                </c:pt>
                <c:pt idx="19">
                  <c:v>6095.6937799043062</c:v>
                </c:pt>
                <c:pt idx="20">
                  <c:v>1888.8888888888889</c:v>
                </c:pt>
                <c:pt idx="21">
                  <c:v>313.72549019607845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1FB-4C90-BE8D-3F07424AF0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517940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wordArtVertRtl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#,##0_ 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517940984"/>
        <c:crosses val="autoZero"/>
        <c:crossBetween val="between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1"/>
        <c:lblAlgn val="ctr"/>
        <c:lblOffset val="100"/>
        <c:noMultiLvlLbl val="0"/>
      </c:catAx>
      <c:valAx>
        <c:axId val="4"/>
        <c:scaling>
          <c:orientation val="minMax"/>
        </c:scaling>
        <c:delete val="0"/>
        <c:axPos val="r"/>
        <c:numFmt formatCode="#,##0.00_ " sourceLinked="1"/>
        <c:majorTickMark val="out"/>
        <c:minorTickMark val="none"/>
        <c:tickLblPos val="nextTo"/>
        <c:crossAx val="3"/>
        <c:crosses val="max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3636411357671198"/>
          <c:y val="0.91049641942905291"/>
          <c:w val="0.3348489620615604"/>
          <c:h val="6.7901558601471068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0.07984</cdr:x>
      <cdr:y>0.04295</cdr:y>
    </cdr:from>
    <cdr:to>
      <cdr:x>0.20269</cdr:x>
      <cdr:y>0.08057</cdr:y>
    </cdr:to>
    <cdr:sp macro="" textlink="">
      <cdr:nvSpPr>
        <cdr:cNvPr id="2" name="文字方塊 1"/>
        <cdr:cNvSpPr txBox="1"/>
      </cdr:nvSpPr>
      <cdr:spPr>
        <a:xfrm xmlns:a="http://schemas.openxmlformats.org/drawingml/2006/main">
          <a:off x="346075" y="247650"/>
          <a:ext cx="527050" cy="2222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zh-TW" altLang="en-US"/>
        </a:p>
      </cdr:txBody>
    </cdr:sp>
  </cdr:relSizeAnchor>
</c:userShape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Jimmy</cp:lastModifiedBy>
  <cp:revision>17</cp:revision>
  <cp:lastPrinted>2018-08-08T08:36:00Z</cp:lastPrinted>
  <dcterms:created xsi:type="dcterms:W3CDTF">2021-08-04T08:48:00Z</dcterms:created>
  <dcterms:modified xsi:type="dcterms:W3CDTF">2022-08-18T07:58:00Z</dcterms:modified>
</cp:coreProperties>
</file>